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41" w:rsidRPr="005522D4" w:rsidRDefault="005522D4" w:rsidP="00F46EA7">
      <w:pPr>
        <w:spacing w:line="0" w:lineRule="atLeast"/>
        <w:jc w:val="left"/>
        <w:rPr>
          <w:rFonts w:ascii="宋体" w:hAnsi="宋体" w:cs="宋体"/>
          <w:sz w:val="18"/>
          <w:szCs w:val="18"/>
        </w:rPr>
      </w:pPr>
      <w:r w:rsidRPr="005522D4">
        <w:rPr>
          <w:rFonts w:ascii="宋体" w:hAnsi="宋体" w:cs="宋体" w:hint="eastAsia"/>
          <w:sz w:val="18"/>
          <w:szCs w:val="18"/>
        </w:rPr>
        <w:t>中华人民共和国企业所得税月（季）度预缴申报表(A类，2015年版) 附表2：</w:t>
      </w:r>
    </w:p>
    <w:p w:rsidR="00C67E20" w:rsidRDefault="00C67E20" w:rsidP="00591AA0">
      <w:pPr>
        <w:ind w:firstLineChars="2536" w:firstLine="5346"/>
        <w:rPr>
          <w:rFonts w:ascii="宋体" w:hAnsi="宋体" w:cs="宋体"/>
          <w:b/>
          <w:bCs/>
          <w:szCs w:val="21"/>
        </w:rPr>
        <w:sectPr w:rsidR="00C67E20" w:rsidSect="00591AA0">
          <w:pgSz w:w="23814" w:h="16840" w:orient="landscape" w:code="8"/>
          <w:pgMar w:top="851" w:right="851" w:bottom="851" w:left="851" w:header="851" w:footer="992" w:gutter="0"/>
          <w:cols w:num="2" w:space="425" w:equalWidth="0">
            <w:col w:w="14599" w:space="425"/>
            <w:col w:w="7087"/>
          </w:cols>
          <w:docGrid w:type="lines" w:linePitch="312"/>
        </w:sectPr>
      </w:pPr>
    </w:p>
    <w:p w:rsidR="005522D4" w:rsidRPr="00591AA0" w:rsidRDefault="005522D4" w:rsidP="009B2F30">
      <w:pPr>
        <w:jc w:val="center"/>
        <w:rPr>
          <w:rFonts w:ascii="宋体" w:hAnsi="宋体" w:cs="宋体"/>
          <w:b/>
          <w:bCs/>
          <w:szCs w:val="21"/>
        </w:rPr>
      </w:pPr>
      <w:r w:rsidRPr="00591AA0">
        <w:rPr>
          <w:rFonts w:ascii="宋体" w:hAnsi="宋体" w:cs="宋体" w:hint="eastAsia"/>
          <w:b/>
          <w:bCs/>
          <w:szCs w:val="21"/>
        </w:rPr>
        <w:lastRenderedPageBreak/>
        <w:t>固定资产加速折旧(扣除)明细表</w:t>
      </w:r>
    </w:p>
    <w:p w:rsidR="005522D4" w:rsidRPr="00591AA0" w:rsidRDefault="00476E8E" w:rsidP="003461B6">
      <w:pPr>
        <w:rPr>
          <w:rFonts w:ascii="宋体" w:hAnsi="宋体" w:cs="宋体"/>
          <w:sz w:val="15"/>
          <w:szCs w:val="15"/>
        </w:rPr>
      </w:pPr>
      <w:r>
        <w:rPr>
          <w:rFonts w:ascii="宋体" w:hAnsi="宋体" w:cs="宋体" w:hint="eastAsia"/>
          <w:sz w:val="18"/>
          <w:szCs w:val="18"/>
        </w:rPr>
        <w:t xml:space="preserve">                                                                                                                                    </w:t>
      </w:r>
      <w:r w:rsidR="00591AA0">
        <w:rPr>
          <w:rFonts w:ascii="宋体" w:hAnsi="宋体" w:cs="宋体" w:hint="eastAsia"/>
          <w:sz w:val="18"/>
          <w:szCs w:val="18"/>
        </w:rPr>
        <w:t xml:space="preserve">    </w:t>
      </w:r>
      <w:r w:rsidR="009B2F30">
        <w:rPr>
          <w:rFonts w:ascii="宋体" w:hAnsi="宋体" w:cs="宋体" w:hint="eastAsia"/>
          <w:sz w:val="18"/>
          <w:szCs w:val="18"/>
        </w:rPr>
        <w:t xml:space="preserve">                                                                           </w:t>
      </w:r>
      <w:r w:rsidR="00591AA0">
        <w:rPr>
          <w:rFonts w:ascii="宋体" w:hAnsi="宋体" w:cs="宋体" w:hint="eastAsia"/>
          <w:sz w:val="18"/>
          <w:szCs w:val="18"/>
        </w:rPr>
        <w:t xml:space="preserve"> </w:t>
      </w:r>
      <w:r w:rsidR="005522D4" w:rsidRPr="00591AA0">
        <w:rPr>
          <w:rFonts w:ascii="宋体" w:hAnsi="宋体" w:cs="宋体" w:hint="eastAsia"/>
          <w:sz w:val="15"/>
          <w:szCs w:val="15"/>
        </w:rPr>
        <w:t>金额单位</w:t>
      </w:r>
      <w:r w:rsidR="00157179" w:rsidRPr="00591AA0">
        <w:rPr>
          <w:rFonts w:ascii="宋体" w:hAnsi="宋体" w:cs="宋体" w:hint="eastAsia"/>
          <w:sz w:val="15"/>
          <w:szCs w:val="15"/>
        </w:rPr>
        <w:t xml:space="preserve">: </w:t>
      </w:r>
      <w:r w:rsidR="005522D4" w:rsidRPr="00591AA0">
        <w:rPr>
          <w:rFonts w:ascii="宋体" w:hAnsi="宋体" w:cs="宋体" w:hint="eastAsia"/>
          <w:sz w:val="15"/>
          <w:szCs w:val="15"/>
        </w:rPr>
        <w:t>人民币元</w:t>
      </w:r>
      <w:r w:rsidR="00933E0B" w:rsidRPr="00591AA0">
        <w:rPr>
          <w:rFonts w:ascii="宋体" w:hAnsi="宋体" w:cs="宋体" w:hint="eastAsia"/>
          <w:sz w:val="15"/>
          <w:szCs w:val="15"/>
        </w:rPr>
        <w:t>（</w:t>
      </w:r>
      <w:r w:rsidR="005522D4" w:rsidRPr="00591AA0">
        <w:rPr>
          <w:rFonts w:ascii="宋体" w:hAnsi="宋体" w:cs="宋体" w:hint="eastAsia"/>
          <w:sz w:val="15"/>
          <w:szCs w:val="15"/>
        </w:rPr>
        <w:t>列至角分</w:t>
      </w:r>
      <w:r w:rsidR="00933E0B" w:rsidRPr="00591AA0">
        <w:rPr>
          <w:rFonts w:ascii="宋体" w:hAnsi="宋体" w:cs="宋体" w:hint="eastAsia"/>
          <w:sz w:val="15"/>
          <w:szCs w:val="15"/>
        </w:rPr>
        <w:t>）</w:t>
      </w:r>
    </w:p>
    <w:tbl>
      <w:tblPr>
        <w:tblW w:w="21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5"/>
        <w:gridCol w:w="1571"/>
        <w:gridCol w:w="1931"/>
        <w:gridCol w:w="904"/>
        <w:gridCol w:w="992"/>
        <w:gridCol w:w="1134"/>
        <w:gridCol w:w="992"/>
        <w:gridCol w:w="992"/>
        <w:gridCol w:w="1134"/>
        <w:gridCol w:w="957"/>
        <w:gridCol w:w="938"/>
        <w:gridCol w:w="940"/>
        <w:gridCol w:w="993"/>
        <w:gridCol w:w="992"/>
        <w:gridCol w:w="992"/>
        <w:gridCol w:w="992"/>
        <w:gridCol w:w="993"/>
        <w:gridCol w:w="992"/>
        <w:gridCol w:w="992"/>
        <w:gridCol w:w="1049"/>
      </w:tblGrid>
      <w:tr w:rsidR="00C67E20" w:rsidRPr="003461B6" w:rsidTr="00EF34B5">
        <w:trPr>
          <w:trHeight w:val="311"/>
          <w:jc w:val="center"/>
        </w:trPr>
        <w:tc>
          <w:tcPr>
            <w:tcW w:w="615" w:type="dxa"/>
            <w:vMerge w:val="restart"/>
            <w:tcBorders>
              <w:top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行次</w:t>
            </w:r>
          </w:p>
        </w:tc>
        <w:tc>
          <w:tcPr>
            <w:tcW w:w="3502" w:type="dxa"/>
            <w:gridSpan w:val="2"/>
            <w:vMerge w:val="restart"/>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项目</w:t>
            </w:r>
          </w:p>
        </w:tc>
        <w:tc>
          <w:tcPr>
            <w:tcW w:w="3030" w:type="dxa"/>
            <w:gridSpan w:val="3"/>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房屋、建筑物</w:t>
            </w:r>
          </w:p>
        </w:tc>
        <w:tc>
          <w:tcPr>
            <w:tcW w:w="3118" w:type="dxa"/>
            <w:gridSpan w:val="3"/>
            <w:tcBorders>
              <w:top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机器设备和其他固定资产</w:t>
            </w:r>
          </w:p>
        </w:tc>
        <w:tc>
          <w:tcPr>
            <w:tcW w:w="10830" w:type="dxa"/>
            <w:gridSpan w:val="11"/>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合计</w:t>
            </w:r>
          </w:p>
        </w:tc>
      </w:tr>
      <w:tr w:rsidR="00EF34B5" w:rsidRPr="003461B6" w:rsidTr="00EF34B5">
        <w:trPr>
          <w:trHeight w:val="322"/>
          <w:jc w:val="center"/>
        </w:trPr>
        <w:tc>
          <w:tcPr>
            <w:tcW w:w="615" w:type="dxa"/>
            <w:vMerge/>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3502" w:type="dxa"/>
            <w:gridSpan w:val="2"/>
            <w:vMerge/>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904" w:type="dxa"/>
            <w:vMerge w:val="restart"/>
            <w:shd w:val="clear" w:color="auto" w:fill="auto"/>
            <w:noWrap/>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原值</w:t>
            </w:r>
          </w:p>
        </w:tc>
        <w:tc>
          <w:tcPr>
            <w:tcW w:w="2126" w:type="dxa"/>
            <w:gridSpan w:val="2"/>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税收折旧（扣除）额</w:t>
            </w:r>
          </w:p>
        </w:tc>
        <w:tc>
          <w:tcPr>
            <w:tcW w:w="992" w:type="dxa"/>
            <w:vMerge w:val="restart"/>
            <w:shd w:val="clear" w:color="auto" w:fill="auto"/>
            <w:noWrap/>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原值</w:t>
            </w:r>
          </w:p>
        </w:tc>
        <w:tc>
          <w:tcPr>
            <w:tcW w:w="2126" w:type="dxa"/>
            <w:gridSpan w:val="2"/>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税收折旧（扣除）额</w:t>
            </w:r>
          </w:p>
        </w:tc>
        <w:tc>
          <w:tcPr>
            <w:tcW w:w="957" w:type="dxa"/>
            <w:vMerge w:val="restart"/>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原值</w:t>
            </w:r>
          </w:p>
        </w:tc>
        <w:tc>
          <w:tcPr>
            <w:tcW w:w="4855" w:type="dxa"/>
            <w:gridSpan w:val="5"/>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本期折旧（扣除）额</w:t>
            </w:r>
          </w:p>
        </w:tc>
        <w:tc>
          <w:tcPr>
            <w:tcW w:w="5018" w:type="dxa"/>
            <w:gridSpan w:val="5"/>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累计折旧（扣除）额</w:t>
            </w:r>
          </w:p>
        </w:tc>
      </w:tr>
      <w:tr w:rsidR="00EF34B5" w:rsidRPr="003461B6" w:rsidTr="00170F8F">
        <w:trPr>
          <w:trHeight w:val="718"/>
          <w:jc w:val="center"/>
        </w:trPr>
        <w:tc>
          <w:tcPr>
            <w:tcW w:w="615" w:type="dxa"/>
            <w:vMerge/>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3502" w:type="dxa"/>
            <w:gridSpan w:val="2"/>
            <w:vMerge/>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904" w:type="dxa"/>
            <w:vMerge/>
            <w:tcBorders>
              <w:bottom w:val="single" w:sz="4" w:space="0" w:color="auto"/>
            </w:tcBorders>
            <w:vAlign w:val="center"/>
          </w:tcPr>
          <w:p w:rsidR="00476E8E" w:rsidRPr="00EF34B5" w:rsidRDefault="00476E8E" w:rsidP="00F46EA7">
            <w:pPr>
              <w:spacing w:line="0" w:lineRule="atLeast"/>
              <w:ind w:leftChars="-50" w:left="-105" w:rightChars="-50" w:right="-105"/>
              <w:jc w:val="left"/>
              <w:rPr>
                <w:rFonts w:asciiTheme="minorEastAsia" w:hAnsiTheme="minorEastAsia" w:cs="宋体"/>
                <w:sz w:val="18"/>
                <w:szCs w:val="18"/>
              </w:rPr>
            </w:pPr>
          </w:p>
        </w:tc>
        <w:tc>
          <w:tcPr>
            <w:tcW w:w="992" w:type="dxa"/>
            <w:tcBorders>
              <w:top w:val="single" w:sz="4" w:space="0" w:color="auto"/>
              <w:bottom w:val="single" w:sz="4" w:space="0" w:color="auto"/>
              <w:right w:val="single" w:sz="4" w:space="0" w:color="auto"/>
            </w:tcBorders>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本期</w:t>
            </w:r>
          </w:p>
        </w:tc>
        <w:tc>
          <w:tcPr>
            <w:tcW w:w="1134" w:type="dxa"/>
            <w:tcBorders>
              <w:top w:val="single" w:sz="4" w:space="0" w:color="auto"/>
              <w:left w:val="single" w:sz="4" w:space="0" w:color="auto"/>
              <w:bottom w:val="single" w:sz="4" w:space="0" w:color="auto"/>
            </w:tcBorders>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累计</w:t>
            </w:r>
          </w:p>
        </w:tc>
        <w:tc>
          <w:tcPr>
            <w:tcW w:w="992" w:type="dxa"/>
            <w:vMerge/>
            <w:tcBorders>
              <w:bottom w:val="single" w:sz="4" w:space="0" w:color="auto"/>
            </w:tcBorders>
            <w:vAlign w:val="center"/>
          </w:tcPr>
          <w:p w:rsidR="00476E8E" w:rsidRPr="00EF34B5" w:rsidRDefault="00476E8E" w:rsidP="00F46EA7">
            <w:pPr>
              <w:spacing w:line="0" w:lineRule="atLeast"/>
              <w:ind w:leftChars="-50" w:left="-105" w:rightChars="-50" w:right="-105"/>
              <w:jc w:val="left"/>
              <w:rPr>
                <w:rFonts w:asciiTheme="minorEastAsia" w:hAnsiTheme="minorEastAsia" w:cs="宋体"/>
                <w:sz w:val="18"/>
                <w:szCs w:val="18"/>
              </w:rPr>
            </w:pPr>
          </w:p>
        </w:tc>
        <w:tc>
          <w:tcPr>
            <w:tcW w:w="992" w:type="dxa"/>
            <w:tcBorders>
              <w:top w:val="single" w:sz="4" w:space="0" w:color="auto"/>
              <w:bottom w:val="single" w:sz="4" w:space="0" w:color="auto"/>
              <w:right w:val="single" w:sz="4" w:space="0" w:color="auto"/>
            </w:tcBorders>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本期</w:t>
            </w:r>
          </w:p>
        </w:tc>
        <w:tc>
          <w:tcPr>
            <w:tcW w:w="1134" w:type="dxa"/>
            <w:tcBorders>
              <w:top w:val="single" w:sz="4" w:space="0" w:color="auto"/>
              <w:left w:val="single" w:sz="4" w:space="0" w:color="auto"/>
              <w:bottom w:val="single" w:sz="4" w:space="0" w:color="auto"/>
            </w:tcBorders>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累计</w:t>
            </w:r>
          </w:p>
        </w:tc>
        <w:tc>
          <w:tcPr>
            <w:tcW w:w="957" w:type="dxa"/>
            <w:vMerge/>
            <w:tcBorders>
              <w:bottom w:val="single" w:sz="4" w:space="0" w:color="auto"/>
            </w:tcBorders>
            <w:vAlign w:val="center"/>
          </w:tcPr>
          <w:p w:rsidR="00476E8E" w:rsidRPr="00EF34B5" w:rsidRDefault="00476E8E" w:rsidP="00F46EA7">
            <w:pPr>
              <w:spacing w:line="0" w:lineRule="atLeast"/>
              <w:ind w:leftChars="-50" w:left="-105" w:rightChars="-50" w:right="-105"/>
              <w:jc w:val="left"/>
              <w:rPr>
                <w:rFonts w:asciiTheme="minorEastAsia" w:hAnsiTheme="minorEastAsia" w:cs="宋体"/>
                <w:sz w:val="18"/>
                <w:szCs w:val="18"/>
              </w:rPr>
            </w:pPr>
          </w:p>
        </w:tc>
        <w:tc>
          <w:tcPr>
            <w:tcW w:w="938" w:type="dxa"/>
            <w:tcBorders>
              <w:top w:val="single" w:sz="4" w:space="0" w:color="auto"/>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会计</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折旧额</w:t>
            </w:r>
          </w:p>
        </w:tc>
        <w:tc>
          <w:tcPr>
            <w:tcW w:w="940"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正常</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折旧额</w:t>
            </w:r>
          </w:p>
        </w:tc>
        <w:tc>
          <w:tcPr>
            <w:tcW w:w="993"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税收</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折旧额</w:t>
            </w:r>
          </w:p>
        </w:tc>
        <w:tc>
          <w:tcPr>
            <w:tcW w:w="992"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纳税</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调整额</w:t>
            </w:r>
          </w:p>
        </w:tc>
        <w:tc>
          <w:tcPr>
            <w:tcW w:w="992"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加速折旧优惠统计额</w:t>
            </w:r>
          </w:p>
        </w:tc>
        <w:tc>
          <w:tcPr>
            <w:tcW w:w="992"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会计</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折旧额</w:t>
            </w:r>
          </w:p>
        </w:tc>
        <w:tc>
          <w:tcPr>
            <w:tcW w:w="993"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正常</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折旧额</w:t>
            </w:r>
          </w:p>
        </w:tc>
        <w:tc>
          <w:tcPr>
            <w:tcW w:w="992"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税收</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折旧额</w:t>
            </w:r>
          </w:p>
        </w:tc>
        <w:tc>
          <w:tcPr>
            <w:tcW w:w="992"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纳税</w:t>
            </w:r>
          </w:p>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调整额</w:t>
            </w:r>
          </w:p>
        </w:tc>
        <w:tc>
          <w:tcPr>
            <w:tcW w:w="1049" w:type="dxa"/>
            <w:tcBorders>
              <w:bottom w:val="single" w:sz="4" w:space="0" w:color="auto"/>
            </w:tcBorders>
            <w:shd w:val="clear" w:color="auto" w:fill="auto"/>
            <w:vAlign w:val="center"/>
          </w:tcPr>
          <w:p w:rsidR="00476E8E" w:rsidRPr="00EF34B5" w:rsidRDefault="00476E8E" w:rsidP="00F46EA7">
            <w:pPr>
              <w:spacing w:line="0" w:lineRule="atLeast"/>
              <w:ind w:leftChars="-50" w:left="-105" w:rightChars="-50" w:right="-105"/>
              <w:jc w:val="center"/>
              <w:rPr>
                <w:rFonts w:asciiTheme="minorEastAsia" w:hAnsiTheme="minorEastAsia" w:cs="宋体"/>
                <w:sz w:val="18"/>
                <w:szCs w:val="18"/>
              </w:rPr>
            </w:pPr>
            <w:r w:rsidRPr="00EF34B5">
              <w:rPr>
                <w:rFonts w:asciiTheme="minorEastAsia" w:hAnsiTheme="minorEastAsia" w:cs="宋体" w:hint="eastAsia"/>
                <w:sz w:val="18"/>
                <w:szCs w:val="18"/>
              </w:rPr>
              <w:t>加速折旧优惠统计额</w:t>
            </w:r>
          </w:p>
        </w:tc>
      </w:tr>
      <w:tr w:rsidR="00EF34B5" w:rsidRPr="003461B6" w:rsidTr="00EF34B5">
        <w:trPr>
          <w:trHeight w:val="116"/>
          <w:jc w:val="center"/>
        </w:trPr>
        <w:tc>
          <w:tcPr>
            <w:tcW w:w="615" w:type="dxa"/>
            <w:vMerge/>
            <w:tcBorders>
              <w:bottom w:val="single" w:sz="12" w:space="0" w:color="auto"/>
            </w:tcBorders>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3502" w:type="dxa"/>
            <w:gridSpan w:val="2"/>
            <w:vMerge/>
            <w:tcBorders>
              <w:bottom w:val="single" w:sz="12" w:space="0" w:color="auto"/>
            </w:tcBorders>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904" w:type="dxa"/>
            <w:tcBorders>
              <w:top w:val="single" w:sz="4" w:space="0" w:color="auto"/>
              <w:bottom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w:t>
            </w:r>
          </w:p>
        </w:tc>
        <w:tc>
          <w:tcPr>
            <w:tcW w:w="992"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2</w:t>
            </w:r>
          </w:p>
        </w:tc>
        <w:tc>
          <w:tcPr>
            <w:tcW w:w="1134"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3</w:t>
            </w:r>
          </w:p>
        </w:tc>
        <w:tc>
          <w:tcPr>
            <w:tcW w:w="992" w:type="dxa"/>
            <w:tcBorders>
              <w:top w:val="single" w:sz="4" w:space="0" w:color="auto"/>
              <w:bottom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4</w:t>
            </w:r>
          </w:p>
        </w:tc>
        <w:tc>
          <w:tcPr>
            <w:tcW w:w="992"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5</w:t>
            </w:r>
          </w:p>
        </w:tc>
        <w:tc>
          <w:tcPr>
            <w:tcW w:w="1134"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6</w:t>
            </w:r>
          </w:p>
        </w:tc>
        <w:tc>
          <w:tcPr>
            <w:tcW w:w="957"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7</w:t>
            </w:r>
          </w:p>
        </w:tc>
        <w:tc>
          <w:tcPr>
            <w:tcW w:w="938"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8</w:t>
            </w:r>
          </w:p>
        </w:tc>
        <w:tc>
          <w:tcPr>
            <w:tcW w:w="940"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9</w:t>
            </w:r>
          </w:p>
        </w:tc>
        <w:tc>
          <w:tcPr>
            <w:tcW w:w="993"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10</w:t>
            </w:r>
          </w:p>
        </w:tc>
        <w:tc>
          <w:tcPr>
            <w:tcW w:w="992"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11</w:t>
            </w:r>
          </w:p>
        </w:tc>
        <w:tc>
          <w:tcPr>
            <w:tcW w:w="992"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12</w:t>
            </w:r>
          </w:p>
        </w:tc>
        <w:tc>
          <w:tcPr>
            <w:tcW w:w="992"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13</w:t>
            </w:r>
          </w:p>
        </w:tc>
        <w:tc>
          <w:tcPr>
            <w:tcW w:w="993"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14</w:t>
            </w:r>
          </w:p>
        </w:tc>
        <w:tc>
          <w:tcPr>
            <w:tcW w:w="992"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15</w:t>
            </w:r>
          </w:p>
        </w:tc>
        <w:tc>
          <w:tcPr>
            <w:tcW w:w="992"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16</w:t>
            </w:r>
          </w:p>
        </w:tc>
        <w:tc>
          <w:tcPr>
            <w:tcW w:w="1049" w:type="dxa"/>
            <w:tcBorders>
              <w:top w:val="single" w:sz="4" w:space="0" w:color="auto"/>
              <w:bottom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17</w:t>
            </w:r>
          </w:p>
        </w:tc>
      </w:tr>
      <w:tr w:rsidR="00EF34B5" w:rsidRPr="003461B6" w:rsidTr="00170F8F">
        <w:trPr>
          <w:trHeight w:val="290"/>
          <w:jc w:val="center"/>
        </w:trPr>
        <w:tc>
          <w:tcPr>
            <w:tcW w:w="615"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w:t>
            </w:r>
          </w:p>
        </w:tc>
        <w:tc>
          <w:tcPr>
            <w:tcW w:w="3502" w:type="dxa"/>
            <w:gridSpan w:val="2"/>
            <w:tcBorders>
              <w:top w:val="single" w:sz="12"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一、重要行业固定资产</w:t>
            </w:r>
            <w:r w:rsidR="00F46EA7">
              <w:rPr>
                <w:rFonts w:asciiTheme="minorEastAsia" w:hAnsiTheme="minorEastAsia" w:cs="宋体" w:hint="eastAsia"/>
                <w:sz w:val="18"/>
                <w:szCs w:val="18"/>
              </w:rPr>
              <w:t>加速折旧</w:t>
            </w:r>
          </w:p>
        </w:tc>
        <w:tc>
          <w:tcPr>
            <w:tcW w:w="904"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tcBorders>
              <w:top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tcBorders>
              <w:top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tcBorders>
              <w:top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tcBorders>
              <w:top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tcBorders>
              <w:top w:val="single" w:sz="12"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38"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40"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049" w:type="dxa"/>
            <w:tcBorders>
              <w:top w:val="single" w:sz="12" w:space="0" w:color="auto"/>
            </w:tcBorders>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2</w:t>
            </w:r>
          </w:p>
        </w:tc>
        <w:tc>
          <w:tcPr>
            <w:tcW w:w="1571" w:type="dxa"/>
            <w:vMerge w:val="restart"/>
            <w:tcBorders>
              <w:righ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40"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1049"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3</w:t>
            </w:r>
          </w:p>
        </w:tc>
        <w:tc>
          <w:tcPr>
            <w:tcW w:w="1571" w:type="dxa"/>
            <w:vMerge/>
            <w:tcBorders>
              <w:righ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税会处理不一致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40"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1049"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4</w:t>
            </w:r>
          </w:p>
        </w:tc>
        <w:tc>
          <w:tcPr>
            <w:tcW w:w="3502" w:type="dxa"/>
            <w:gridSpan w:val="2"/>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二、其他行业研发设备加速折旧</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40"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049"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5</w:t>
            </w:r>
          </w:p>
        </w:tc>
        <w:tc>
          <w:tcPr>
            <w:tcW w:w="1571" w:type="dxa"/>
            <w:vMerge w:val="restart"/>
            <w:tcBorders>
              <w:right w:val="single" w:sz="4"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单价100万元以上专用研发设备</w:t>
            </w: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40"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1049"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6</w:t>
            </w:r>
          </w:p>
        </w:tc>
        <w:tc>
          <w:tcPr>
            <w:tcW w:w="1571" w:type="dxa"/>
            <w:vMerge/>
            <w:tcBorders>
              <w:righ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税会处理不一致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40"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1049"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7</w:t>
            </w:r>
          </w:p>
        </w:tc>
        <w:tc>
          <w:tcPr>
            <w:tcW w:w="3502" w:type="dxa"/>
            <w:gridSpan w:val="2"/>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三、允许一次性扣除的固定资产</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40"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049"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8</w:t>
            </w:r>
          </w:p>
        </w:tc>
        <w:tc>
          <w:tcPr>
            <w:tcW w:w="3502" w:type="dxa"/>
            <w:gridSpan w:val="2"/>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（一）单价不超过100万元研发设备</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40"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049"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9</w:t>
            </w:r>
          </w:p>
        </w:tc>
        <w:tc>
          <w:tcPr>
            <w:tcW w:w="1571" w:type="dxa"/>
            <w:vMerge w:val="restart"/>
            <w:tcBorders>
              <w:righ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40"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1049"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10</w:t>
            </w:r>
          </w:p>
        </w:tc>
        <w:tc>
          <w:tcPr>
            <w:tcW w:w="1571" w:type="dxa"/>
            <w:vMerge/>
            <w:tcBorders>
              <w:righ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税会处理不一致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40"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1049"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11</w:t>
            </w:r>
          </w:p>
        </w:tc>
        <w:tc>
          <w:tcPr>
            <w:tcW w:w="3502" w:type="dxa"/>
            <w:gridSpan w:val="2"/>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 xml:space="preserve">  （二）5000元以下的固定资产</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40"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049"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12</w:t>
            </w:r>
          </w:p>
        </w:tc>
        <w:tc>
          <w:tcPr>
            <w:tcW w:w="1571" w:type="dxa"/>
            <w:vMerge w:val="restart"/>
            <w:tcBorders>
              <w:right w:val="single" w:sz="4" w:space="0" w:color="auto"/>
            </w:tcBorders>
            <w:shd w:val="clear" w:color="auto" w:fill="auto"/>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kern w:val="0"/>
                <w:sz w:val="18"/>
                <w:szCs w:val="18"/>
              </w:rPr>
              <w:t>****</w:t>
            </w: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40"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1049"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13</w:t>
            </w:r>
          </w:p>
        </w:tc>
        <w:tc>
          <w:tcPr>
            <w:tcW w:w="1571" w:type="dxa"/>
            <w:vMerge/>
            <w:tcBorders>
              <w:righ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p>
        </w:tc>
        <w:tc>
          <w:tcPr>
            <w:tcW w:w="1931" w:type="dxa"/>
            <w:tcBorders>
              <w:left w:val="single" w:sz="4" w:space="0" w:color="auto"/>
            </w:tcBorders>
            <w:shd w:val="clear" w:color="auto" w:fill="auto"/>
            <w:vAlign w:val="center"/>
          </w:tcPr>
          <w:p w:rsidR="00476E8E" w:rsidRPr="00EF34B5" w:rsidRDefault="00476E8E" w:rsidP="00F46EA7">
            <w:pPr>
              <w:spacing w:line="0" w:lineRule="atLeast"/>
              <w:jc w:val="left"/>
              <w:rPr>
                <w:rFonts w:asciiTheme="minorEastAsia" w:hAnsiTheme="minorEastAsia" w:cs="宋体"/>
                <w:sz w:val="18"/>
                <w:szCs w:val="18"/>
              </w:rPr>
            </w:pPr>
            <w:r w:rsidRPr="00EF34B5">
              <w:rPr>
                <w:rFonts w:asciiTheme="minorEastAsia" w:hAnsiTheme="minorEastAsia" w:cs="宋体" w:hint="eastAsia"/>
                <w:sz w:val="18"/>
                <w:szCs w:val="18"/>
              </w:rPr>
              <w:t>税会处理不一致</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38"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40"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3"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3"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992" w:type="dxa"/>
            <w:shd w:val="clear" w:color="auto" w:fill="auto"/>
            <w:noWrap/>
            <w:vAlign w:val="center"/>
          </w:tcPr>
          <w:p w:rsidR="00476E8E" w:rsidRPr="00EF34B5" w:rsidRDefault="00476E8E" w:rsidP="00F46EA7">
            <w:pPr>
              <w:widowControl/>
              <w:spacing w:line="0" w:lineRule="atLeast"/>
              <w:jc w:val="right"/>
              <w:rPr>
                <w:rFonts w:asciiTheme="minorEastAsia" w:hAnsiTheme="minorEastAsia" w:cs="宋体"/>
                <w:kern w:val="0"/>
                <w:sz w:val="18"/>
                <w:szCs w:val="18"/>
              </w:rPr>
            </w:pPr>
            <w:r w:rsidRPr="00EF34B5">
              <w:rPr>
                <w:rFonts w:asciiTheme="minorEastAsia" w:hAnsiTheme="minorEastAsia" w:cs="宋体" w:hint="eastAsia"/>
                <w:kern w:val="0"/>
                <w:sz w:val="18"/>
                <w:szCs w:val="18"/>
              </w:rPr>
              <w:t xml:space="preserve">　</w:t>
            </w:r>
          </w:p>
        </w:tc>
        <w:tc>
          <w:tcPr>
            <w:tcW w:w="1049" w:type="dxa"/>
            <w:shd w:val="clear" w:color="auto" w:fill="auto"/>
            <w:noWrap/>
            <w:vAlign w:val="center"/>
          </w:tcPr>
          <w:p w:rsidR="00476E8E" w:rsidRPr="00EF34B5" w:rsidRDefault="00476E8E" w:rsidP="00F46EA7">
            <w:pPr>
              <w:widowControl/>
              <w:spacing w:line="0" w:lineRule="atLeast"/>
              <w:jc w:val="center"/>
              <w:rPr>
                <w:rFonts w:asciiTheme="minorEastAsia" w:hAnsiTheme="minorEastAsia" w:cs="宋体"/>
                <w:kern w:val="0"/>
                <w:sz w:val="18"/>
                <w:szCs w:val="18"/>
              </w:rPr>
            </w:pPr>
            <w:r w:rsidRPr="00EF34B5">
              <w:rPr>
                <w:rFonts w:asciiTheme="minorEastAsia" w:hAnsiTheme="minorEastAsia" w:cs="宋体" w:hint="eastAsia"/>
                <w:kern w:val="0"/>
                <w:sz w:val="18"/>
                <w:szCs w:val="18"/>
              </w:rPr>
              <w:t>****</w:t>
            </w:r>
          </w:p>
        </w:tc>
      </w:tr>
      <w:tr w:rsidR="00EF34B5" w:rsidRPr="003461B6" w:rsidTr="00170F8F">
        <w:trPr>
          <w:trHeight w:val="290"/>
          <w:jc w:val="center"/>
        </w:trPr>
        <w:tc>
          <w:tcPr>
            <w:tcW w:w="615"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14</w:t>
            </w:r>
          </w:p>
        </w:tc>
        <w:tc>
          <w:tcPr>
            <w:tcW w:w="3502" w:type="dxa"/>
            <w:gridSpan w:val="2"/>
            <w:shd w:val="clear" w:color="auto" w:fill="auto"/>
            <w:vAlign w:val="center"/>
          </w:tcPr>
          <w:p w:rsidR="00476E8E" w:rsidRPr="00EF34B5" w:rsidRDefault="00476E8E" w:rsidP="00F46EA7">
            <w:pPr>
              <w:spacing w:line="0" w:lineRule="atLeast"/>
              <w:jc w:val="center"/>
              <w:rPr>
                <w:rFonts w:asciiTheme="minorEastAsia" w:hAnsiTheme="minorEastAsia" w:cs="宋体"/>
                <w:bCs/>
                <w:sz w:val="18"/>
                <w:szCs w:val="18"/>
              </w:rPr>
            </w:pPr>
            <w:r w:rsidRPr="00EF34B5">
              <w:rPr>
                <w:rFonts w:asciiTheme="minorEastAsia" w:hAnsiTheme="minorEastAsia" w:cs="宋体" w:hint="eastAsia"/>
                <w:bCs/>
                <w:sz w:val="18"/>
                <w:szCs w:val="18"/>
              </w:rPr>
              <w:t>合计</w:t>
            </w:r>
          </w:p>
        </w:tc>
        <w:tc>
          <w:tcPr>
            <w:tcW w:w="90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1134"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57"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r w:rsidRPr="00EF34B5">
              <w:rPr>
                <w:rFonts w:asciiTheme="minorEastAsia" w:hAnsiTheme="minorEastAsia" w:cs="宋体" w:hint="eastAsia"/>
                <w:sz w:val="18"/>
                <w:szCs w:val="18"/>
              </w:rPr>
              <w:t xml:space="preserve">　</w:t>
            </w:r>
          </w:p>
        </w:tc>
        <w:tc>
          <w:tcPr>
            <w:tcW w:w="938"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40"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3"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992"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c>
          <w:tcPr>
            <w:tcW w:w="1049" w:type="dxa"/>
            <w:shd w:val="clear" w:color="auto" w:fill="auto"/>
            <w:noWrap/>
            <w:vAlign w:val="center"/>
          </w:tcPr>
          <w:p w:rsidR="00476E8E" w:rsidRPr="00EF34B5" w:rsidRDefault="00476E8E" w:rsidP="00F46EA7">
            <w:pPr>
              <w:spacing w:line="0" w:lineRule="atLeast"/>
              <w:jc w:val="center"/>
              <w:rPr>
                <w:rFonts w:asciiTheme="minorEastAsia" w:hAnsiTheme="minorEastAsia" w:cs="宋体"/>
                <w:sz w:val="18"/>
                <w:szCs w:val="18"/>
              </w:rPr>
            </w:pPr>
          </w:p>
        </w:tc>
      </w:tr>
    </w:tbl>
    <w:p w:rsidR="00476E8E" w:rsidRPr="00EF34B5" w:rsidRDefault="00933E0B" w:rsidP="00476E8E">
      <w:pPr>
        <w:pStyle w:val="a3"/>
        <w:tabs>
          <w:tab w:val="left" w:pos="4830"/>
        </w:tabs>
        <w:topLinePunct/>
        <w:jc w:val="left"/>
        <w:outlineLvl w:val="0"/>
        <w:rPr>
          <w:rFonts w:asciiTheme="minorEastAsia" w:eastAsiaTheme="minorEastAsia" w:hAnsiTheme="minorEastAsia"/>
          <w:b/>
          <w:spacing w:val="6"/>
          <w:position w:val="6"/>
          <w:sz w:val="18"/>
          <w:szCs w:val="18"/>
        </w:rPr>
      </w:pPr>
      <w:r>
        <w:rPr>
          <w:rFonts w:hAnsi="宋体" w:cs="宋体" w:hint="eastAsia"/>
          <w:sz w:val="18"/>
          <w:szCs w:val="18"/>
        </w:rPr>
        <w:t xml:space="preserve">                                                                                                                         </w:t>
      </w:r>
      <w:r w:rsidR="00476E8E">
        <w:rPr>
          <w:rFonts w:hAnsi="宋体" w:cs="宋体" w:hint="eastAsia"/>
          <w:sz w:val="18"/>
          <w:szCs w:val="18"/>
        </w:rPr>
        <w:t xml:space="preserve">   </w:t>
      </w:r>
      <w:r w:rsidR="00591AA0">
        <w:rPr>
          <w:rFonts w:hAnsi="宋体" w:cs="宋体" w:hint="eastAsia"/>
          <w:sz w:val="18"/>
          <w:szCs w:val="18"/>
        </w:rPr>
        <w:t xml:space="preserve">                     </w:t>
      </w:r>
      <w:r w:rsidR="00EF34B5">
        <w:rPr>
          <w:rFonts w:hAnsi="宋体" w:cs="宋体" w:hint="eastAsia"/>
          <w:sz w:val="18"/>
          <w:szCs w:val="18"/>
        </w:rPr>
        <w:t xml:space="preserve">                                                                         </w:t>
      </w:r>
      <w:r w:rsidRPr="00EF34B5">
        <w:rPr>
          <w:rFonts w:hAnsi="宋体" w:cs="宋体" w:hint="eastAsia"/>
          <w:sz w:val="18"/>
          <w:szCs w:val="18"/>
        </w:rPr>
        <w:t>国家税务总局监制</w:t>
      </w:r>
    </w:p>
    <w:p w:rsidR="00476E8E" w:rsidRPr="00EF34B5" w:rsidRDefault="00476E8E" w:rsidP="00591AA0">
      <w:pPr>
        <w:spacing w:line="0" w:lineRule="atLeast"/>
        <w:jc w:val="center"/>
        <w:rPr>
          <w:rFonts w:asciiTheme="minorEastAsia" w:hAnsiTheme="minorEastAsia"/>
          <w:b/>
          <w:spacing w:val="6"/>
          <w:position w:val="6"/>
          <w:szCs w:val="21"/>
        </w:rPr>
      </w:pPr>
      <w:r w:rsidRPr="00EF34B5">
        <w:rPr>
          <w:rFonts w:asciiTheme="minorEastAsia" w:hAnsiTheme="minorEastAsia" w:hint="eastAsia"/>
          <w:b/>
          <w:spacing w:val="6"/>
          <w:position w:val="6"/>
          <w:szCs w:val="21"/>
        </w:rPr>
        <w:t>填报说明</w:t>
      </w:r>
    </w:p>
    <w:p w:rsidR="00C67E20" w:rsidRDefault="00C67E20" w:rsidP="00476E8E">
      <w:pPr>
        <w:spacing w:line="0" w:lineRule="atLeast"/>
        <w:ind w:firstLineChars="201" w:firstLine="326"/>
        <w:rPr>
          <w:rFonts w:asciiTheme="minorEastAsia" w:hAnsiTheme="minorEastAsia"/>
          <w:spacing w:val="6"/>
          <w:position w:val="6"/>
          <w:sz w:val="15"/>
          <w:szCs w:val="15"/>
        </w:rPr>
        <w:sectPr w:rsidR="00C67E20" w:rsidSect="00C67E20">
          <w:type w:val="continuous"/>
          <w:pgSz w:w="23814" w:h="16840" w:orient="landscape" w:code="8"/>
          <w:pgMar w:top="851" w:right="851" w:bottom="851" w:left="851" w:header="851" w:footer="992" w:gutter="0"/>
          <w:cols w:space="425"/>
          <w:docGrid w:type="lines" w:linePitch="312"/>
        </w:sectPr>
      </w:pPr>
    </w:p>
    <w:p w:rsidR="00476E8E" w:rsidRPr="009B2F30" w:rsidRDefault="00476E8E" w:rsidP="009B2F30">
      <w:pPr>
        <w:spacing w:line="0" w:lineRule="atLeast"/>
        <w:ind w:firstLineChars="201" w:firstLine="327"/>
        <w:rPr>
          <w:rFonts w:asciiTheme="minorEastAsia" w:hAnsiTheme="minorEastAsia"/>
          <w:b/>
          <w:sz w:val="15"/>
          <w:szCs w:val="15"/>
        </w:rPr>
      </w:pPr>
      <w:r w:rsidRPr="009B2F30">
        <w:rPr>
          <w:rFonts w:asciiTheme="minorEastAsia" w:hAnsiTheme="minorEastAsia" w:hint="eastAsia"/>
          <w:b/>
          <w:spacing w:val="6"/>
          <w:position w:val="6"/>
          <w:sz w:val="15"/>
          <w:szCs w:val="15"/>
        </w:rPr>
        <w:lastRenderedPageBreak/>
        <w:t>一、适用范围及总体说明</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（一）本表作为《中华人民共和国企业所得税月（季）度预缴纳税申报表（A类，2015年版）》的附表，适用于按照《财政部 国家税务总局关于完善固定资产加速折旧税收政策有关问题的通知》（财税〔2014〕75号）、《财政部 国家税务总局关于进一步完善固定资产加速折旧企业所得税政策的通知》（财税〔2015〕106号）等规定，享受固定资产加速折旧和一次性扣除优惠政策的查账征税的纳税人填报。</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（二）《国家税务总局关于企业固定资产加速折旧所得税处理有关问题的通知》（国税发〔2009〕81号）、《财政部 国家税务总局关于进一步鼓励软件产业和集成电路产业发展企业所得税政策的通知》（财税〔2012〕27号）规定的固定资产加速折旧，不填报本表。</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三）本表主要任务：一是对税法加速折旧，会计未加速折旧的固定资产，预缴环节对折旧额的会计与税法差异进行单向纳税调减。当该固定资产的会计折旧额大于税法折旧额时，不再填写本表，预缴时也不作纳税调增，纳税调整统一在汇算清缴处理。二是对于税法、会计都加速折旧的，对纳税人享受加速折旧优惠情况进行统计。</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（四）填报要求</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1.税法折旧小于会计折旧后，本年度内预缴要保留“累计”和“原值”金额，“本期”不再填写。</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当税法折旧额小于会计折旧额（或正常折旧额）时，在本年度内以后月（季）度申报时，该项固定资产此后月份、季度的折旧情况不再填写本表。为便于统计优惠数据，按月申报的纳税人，本月折旧（扣除）金额不再填写，年度内保留累计数；按季申报的纳税人，对于季度中间月份税法折旧额小于会计折旧额的，季度申报时本期数按实际数额填报，年度内保留累计数。例如：A汽车公司享受固定资产加速折旧政策，按季度预缴所得税，2018年5月，某项固定资产税法折旧额开始小于会计折旧额（其4月税法折旧额大于会计折旧额），其2季度申报时，本期数只填写4月份数额，累计数填写到4月份数额。在3、4季度申报时，该项固定资产的当期折旧情况不再填写，但累计折旧和原值相关栏次保留2季度申报的累计数。</w:t>
      </w:r>
    </w:p>
    <w:p w:rsidR="00C67E20"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税法折旧额小于会计折旧额（或正常折旧额）主要包括以下情形：</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（1）会计采取正常折旧方法，税法采取缩短折旧年限方法，按税法规定折旧完毕的。</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（2）会计采取正常折旧方法，税法采取年数总和法或双倍余额递减法方法的，税法折旧金额小于会计折旧金额的。</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（3）会计和税法均采取加速折旧，但税会处理金额不一致，当税法折旧金额小于会计折旧金额的。</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（4）会计和税法均采取加速折旧，该类固定资产税会处理金额一致的，当税法折旧额小于正常折旧额的。</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（5）税法采取一次性扣除后,年内剩余月份内税法不再折旧，会计仍然折旧，造成税法折旧额小于会计折旧额的。</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2.对享受一次性扣除政策的固定资产，扣除所属期预缴申报时，会计折旧额（或正常折旧额）按首月折旧额填报，不按“</w:t>
      </w:r>
      <w:smartTag w:uri="urn:schemas-microsoft-com:office:smarttags" w:element="chmetcnv">
        <w:smartTagPr>
          <w:attr w:name="TCSC" w:val="0"/>
          <w:attr w:name="NumberType" w:val="1"/>
          <w:attr w:name="Negative" w:val="False"/>
          <w:attr w:name="HasSpace" w:val="False"/>
          <w:attr w:name="SourceValue" w:val="0"/>
          <w:attr w:name="UnitName" w:val="”"/>
        </w:smartTagPr>
        <w:r w:rsidRPr="00170F8F">
          <w:rPr>
            <w:rFonts w:asciiTheme="minorEastAsia" w:hAnsiTheme="minorEastAsia" w:hint="eastAsia"/>
            <w:sz w:val="15"/>
            <w:szCs w:val="15"/>
          </w:rPr>
          <w:t>0”</w:t>
        </w:r>
      </w:smartTag>
      <w:r w:rsidRPr="00170F8F">
        <w:rPr>
          <w:rFonts w:asciiTheme="minorEastAsia" w:hAnsiTheme="minorEastAsia" w:hint="eastAsia"/>
          <w:sz w:val="15"/>
          <w:szCs w:val="15"/>
        </w:rPr>
        <w:t>填报会计折旧额。</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3.对会计和税法均采取加速折旧、但其税会折旧金额不一致的资产，在“税会处理不一致”行填报。</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4.有“*”号的单元格不需填写。</w:t>
      </w:r>
    </w:p>
    <w:p w:rsidR="00476E8E" w:rsidRPr="009B2F30" w:rsidRDefault="00476E8E" w:rsidP="009B2F30">
      <w:pPr>
        <w:spacing w:line="0" w:lineRule="atLeast"/>
        <w:ind w:firstLineChars="218" w:firstLine="354"/>
        <w:rPr>
          <w:rFonts w:asciiTheme="minorEastAsia" w:hAnsiTheme="minorEastAsia"/>
          <w:b/>
          <w:spacing w:val="6"/>
          <w:position w:val="6"/>
          <w:sz w:val="15"/>
          <w:szCs w:val="15"/>
        </w:rPr>
      </w:pPr>
      <w:r w:rsidRPr="009B2F30">
        <w:rPr>
          <w:rFonts w:asciiTheme="minorEastAsia" w:hAnsiTheme="minorEastAsia" w:hint="eastAsia"/>
          <w:b/>
          <w:spacing w:val="6"/>
          <w:position w:val="6"/>
          <w:sz w:val="15"/>
          <w:szCs w:val="15"/>
        </w:rPr>
        <w:t>二、有关项目填报说明</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（一）行次填报</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1.第1行“一、重要行业固定资产加速折旧”：生物药品制造业，专用设备制造业，铁路、船舶、航空航天和其他运输设备制造业，计算机、通信和其他电子设备制造业，仪器仪表制造业，信息传输、软件和信息技术服务业6个行业，以及轻工、纺织、机械、汽车四大领域18个行业（以下称“重要行业”）的纳税人，按照财税〔2014〕75号和财税〔2015〕106号文件规定，对于新购进固定资产在税收上采取加速折旧的，结</w:t>
      </w:r>
      <w:r w:rsidRPr="00170F8F">
        <w:rPr>
          <w:rFonts w:asciiTheme="minorEastAsia" w:hAnsiTheme="minorEastAsia" w:hint="eastAsia"/>
          <w:sz w:val="15"/>
          <w:szCs w:val="15"/>
        </w:rPr>
        <w:lastRenderedPageBreak/>
        <w:t>合会计折旧政策，分不同情况填报纳税调减和加速折旧优惠统计情况。本行=2行+3行。</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第2行、第3行“项目”列空白处：由企业按照财税〔2014〕75号和财税〔2015〕106号文件规定的行业范围，选择填写其经营行业。为便于征纳双方操作，按照《国民经济行业分类（GB/T 4754-2011）》，本附件第四部分列示了《重要领域（行业）固定资产加速折旧行业代码表》，纳税申报时填写所属行业名称及对应的“行业中类”代码，代码长度为三位，全部由数字组成。</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第2行、第3行，由企业按照不同税会处理方式，填写固定资产加速折旧情况。“税会处理不一致”包括税法和会计都加速折旧，但税会折旧方法不一致的情况。</w:t>
      </w:r>
    </w:p>
    <w:p w:rsidR="00476E8E" w:rsidRPr="00170F8F" w:rsidRDefault="00476E8E" w:rsidP="00170F8F">
      <w:pPr>
        <w:numPr>
          <w:ilvl w:val="0"/>
          <w:numId w:val="3"/>
        </w:numPr>
        <w:overflowPunct w:val="0"/>
        <w:autoSpaceDE w:val="0"/>
        <w:autoSpaceDN w:val="0"/>
        <w:adjustRightInd w:val="0"/>
        <w:spacing w:line="0" w:lineRule="atLeast"/>
        <w:ind w:firstLineChars="200" w:firstLine="300"/>
        <w:textAlignment w:val="baseline"/>
        <w:rPr>
          <w:rFonts w:asciiTheme="minorEastAsia" w:hAnsiTheme="minorEastAsia"/>
          <w:sz w:val="15"/>
          <w:szCs w:val="15"/>
        </w:rPr>
      </w:pPr>
      <w:r w:rsidRPr="00170F8F">
        <w:rPr>
          <w:rFonts w:asciiTheme="minorEastAsia" w:hAnsiTheme="minorEastAsia" w:hint="eastAsia"/>
          <w:sz w:val="15"/>
          <w:szCs w:val="15"/>
        </w:rPr>
        <w:t>第4行“二、其他行业研发设备加速折旧”：由重要行业以外的其他企业填报单位价值超过100万元的专用研发设备采取缩短折旧年限或加速折旧方法，在预缴环节纳税调减和统计加速折旧优惠情况。本行=5行+6行。</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第5行和第6行，由企业根据其不同税会处理方式，填写固定资产加速折旧情况。</w:t>
      </w:r>
    </w:p>
    <w:p w:rsidR="00476E8E" w:rsidRPr="00170F8F" w:rsidRDefault="00476E8E" w:rsidP="00170F8F">
      <w:pPr>
        <w:numPr>
          <w:ilvl w:val="0"/>
          <w:numId w:val="4"/>
        </w:numPr>
        <w:overflowPunct w:val="0"/>
        <w:autoSpaceDE w:val="0"/>
        <w:autoSpaceDN w:val="0"/>
        <w:adjustRightInd w:val="0"/>
        <w:spacing w:line="0" w:lineRule="atLeast"/>
        <w:ind w:firstLineChars="200" w:firstLine="300"/>
        <w:textAlignment w:val="baseline"/>
        <w:rPr>
          <w:rFonts w:asciiTheme="minorEastAsia" w:hAnsiTheme="minorEastAsia"/>
          <w:sz w:val="15"/>
          <w:szCs w:val="15"/>
        </w:rPr>
      </w:pPr>
      <w:r w:rsidRPr="00170F8F">
        <w:rPr>
          <w:rFonts w:asciiTheme="minorEastAsia" w:hAnsiTheme="minorEastAsia" w:hint="eastAsia"/>
          <w:sz w:val="15"/>
          <w:szCs w:val="15"/>
        </w:rPr>
        <w:t>第7行“三、允许一次性扣除的固定资产”：填报新购进的单位价值不超过100万元的研发设备和单位价值不超过5000元的固定资产一次性在当期所得税前扣除的金额。本行=8行+11行。</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第8行“（一）单价不超过100万元研发设备”：由重要行业中的小型微利企业和其他企业填报。本行填写单位价值不超过100万元研发设备采取缩短折旧年限或加速折旧方法，在预缴环节进行纳税调减和加速折旧优惠统计情况。本行=9行+10行。</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第9行和第10行“项目”列空白处：由企业选择不同类型（重要行业小微、其他企业）填写固定资产加速折旧情况。选择“重要行业小微”类型的，是指“重要行业”中的小型微利企业（需同时在第2、3行“项目”空白处填写所属行业），允许一次性扣除新购进单位价值不超过100万元的研发和生产经营共用仪器、设备。选择“其他企业”（指除“重要行业”小型微利企业以外的其他企业）类型的企业对新购进并专门用于研发活动的仪器、设备，单位价值不超过100万元的，可以一次性扣除。</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第11行“（二）5000元以下固定资产一次性扣除”：填写单位价值不超过5000元的固定资产，按照税法规定一次性在当期税前扣除的。本行=12行+13行。</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第12行和第13行，由企业选择不同的税会处理方式，填写固定资产加速折旧情况。</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（二）列次填报</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1.第1列至第7列有关固定资产原值、折旧额。</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（1）原值：填写固定资产计税基础，对于年度内税法折旧小于会计折旧（或正常折旧）之后的资产，本年以后月份或季度保留原值。</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（2）本期税收折旧（扣除）额：填报固定资产当月（季）税法折旧大于会计折旧情况下的税法折旧额。</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3）累计税收折旧（扣除）额：填写按税法规定享受加速折旧优惠政策的固定资产自本年度1月1日至当月（季）度的累计税收折旧（扣除）额。年度中间开业的，填写开业之日至当月（季）度的累计税收折旧（扣除）额。</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2.第8-17列“本期税收折旧（扣除）额”填报当月（季）度的数据；“累计税收折旧（扣除）额”填报自本年度</w:t>
      </w:r>
      <w:smartTag w:uri="urn:schemas-microsoft-com:office:smarttags" w:element="chsdate">
        <w:smartTagPr>
          <w:attr w:name="IsROCDate" w:val="False"/>
          <w:attr w:name="IsLunarDate" w:val="False"/>
          <w:attr w:name="Day" w:val="1"/>
          <w:attr w:name="Month" w:val="1"/>
          <w:attr w:name="Year" w:val="2015"/>
        </w:smartTagPr>
        <w:r w:rsidRPr="00170F8F">
          <w:rPr>
            <w:rFonts w:asciiTheme="minorEastAsia" w:hAnsiTheme="minorEastAsia" w:hint="eastAsia"/>
            <w:sz w:val="15"/>
            <w:szCs w:val="15"/>
          </w:rPr>
          <w:t>1月1日</w:t>
        </w:r>
      </w:smartTag>
      <w:r w:rsidRPr="00170F8F">
        <w:rPr>
          <w:rFonts w:asciiTheme="minorEastAsia" w:hAnsiTheme="minorEastAsia" w:hint="eastAsia"/>
          <w:sz w:val="15"/>
          <w:szCs w:val="15"/>
        </w:rPr>
        <w:t>至当月（季）度的累计数。年度中间开业的，填写开业之日至当月（季）度的累计税收折旧（扣除）额。</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（1）填报规则</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一是对于会计未加速折旧、税法加速折旧的，填写第8列、10列、11列和第13列、15列、16列，据此进行纳税调减。</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二是对于会计与税法均加速折旧的，填写第9列、10列、12列和第14列、15列、17列，据此统计优惠</w:t>
      </w:r>
      <w:r w:rsidRPr="00170F8F">
        <w:rPr>
          <w:rFonts w:asciiTheme="minorEastAsia" w:hAnsiTheme="minorEastAsia" w:hint="eastAsia"/>
          <w:sz w:val="15"/>
          <w:szCs w:val="15"/>
        </w:rPr>
        <w:lastRenderedPageBreak/>
        <w:t>政策情况。</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三是对于税法上加速折旧，但部分资产会计上加速折旧，另一部分资产会计上未加速折旧，应区分会计上不同资产折旧情况，按上述规则分别在“税会处理一致”、“税会处理不一致”对应的列次填报。</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（2）具体列次的填报</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一是“会计折旧额”：税收上加速折旧，会计上未加速折旧的，本列填固定资产会计上实际账载折旧数额。会计与税法均加速折旧的,不填写本列。</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二是“正常折旧额”：会计和税收均加速折旧，为便于统计企业享受优惠情况，视为该资产未享受加速折旧政策进行统计，本列填报该固定资产视同按照税法规定最低折旧年限采用直线法估算折旧额。当税法折旧额小于正常折旧额时，第9列不填写，第14列按照本年累计数额填报。对于会计未加速折旧，税法加速折旧的，不填写本列。</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三是“税收折旧额”：填报按税法规定享受加速折旧优惠政策的固定资产，按税法规定的折旧（扣除）数额。</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四是“纳税调整额”:填报税收上加速折旧，会计上未加速折旧的差额，在预缴申报时进行纳税调减。预缴环节不进行纳税调增，有关纳税调整在汇算清缴时统一处理。当税法折旧金额小于按会计折旧金额时，不再填写本表。第11列=第10列-8列，第16列=第15列-13列。</w:t>
      </w:r>
    </w:p>
    <w:p w:rsidR="00F46EA7" w:rsidRDefault="00476E8E" w:rsidP="00170F8F">
      <w:pPr>
        <w:spacing w:line="0" w:lineRule="atLeast"/>
        <w:ind w:firstLineChars="200" w:firstLine="300"/>
        <w:rPr>
          <w:rFonts w:asciiTheme="minorEastAsia" w:hAnsiTheme="minorEastAsia" w:hint="eastAsia"/>
          <w:sz w:val="15"/>
          <w:szCs w:val="15"/>
        </w:rPr>
      </w:pPr>
      <w:r w:rsidRPr="00170F8F">
        <w:rPr>
          <w:rFonts w:asciiTheme="minorEastAsia" w:hAnsiTheme="minorEastAsia" w:hint="eastAsia"/>
          <w:sz w:val="15"/>
          <w:szCs w:val="15"/>
        </w:rPr>
        <w:t>五是“加速折旧优惠统计额”：填报会计与税法对固定资产均加速折旧，以税法实际加速折旧额减去假定未加速折旧的“正常折旧”额，据此统计加速折旧情况。第12列=第10列-9列，第17列=第15列-14</w:t>
      </w:r>
      <w:r w:rsidR="00EF34B5" w:rsidRPr="00170F8F">
        <w:rPr>
          <w:rFonts w:asciiTheme="minorEastAsia" w:hAnsiTheme="minorEastAsia" w:hint="eastAsia"/>
          <w:sz w:val="15"/>
          <w:szCs w:val="15"/>
        </w:rPr>
        <w:t>列。</w:t>
      </w:r>
    </w:p>
    <w:p w:rsidR="00476E8E" w:rsidRPr="00170F8F" w:rsidRDefault="00476E8E" w:rsidP="00170F8F">
      <w:pPr>
        <w:spacing w:line="0" w:lineRule="atLeast"/>
        <w:ind w:firstLineChars="200" w:firstLine="300"/>
        <w:rPr>
          <w:rFonts w:asciiTheme="minorEastAsia" w:hAnsiTheme="minorEastAsia"/>
          <w:sz w:val="15"/>
          <w:szCs w:val="15"/>
        </w:rPr>
      </w:pPr>
      <w:r w:rsidRPr="00170F8F">
        <w:rPr>
          <w:rFonts w:asciiTheme="minorEastAsia" w:hAnsiTheme="minorEastAsia" w:hint="eastAsia"/>
          <w:sz w:val="15"/>
          <w:szCs w:val="15"/>
        </w:rPr>
        <w:t>税务机关以“纳税调整额”+“加速折旧优惠统计额”之和，进行固定资产加速折旧优惠情况统计工作。</w:t>
      </w:r>
    </w:p>
    <w:p w:rsidR="00476E8E" w:rsidRPr="009B2F30" w:rsidRDefault="00476E8E" w:rsidP="009B2F30">
      <w:pPr>
        <w:spacing w:line="0" w:lineRule="atLeast"/>
        <w:ind w:firstLineChars="200" w:firstLine="325"/>
        <w:rPr>
          <w:rFonts w:asciiTheme="minorEastAsia" w:hAnsiTheme="minorEastAsia"/>
          <w:b/>
          <w:bCs/>
          <w:spacing w:val="6"/>
          <w:position w:val="6"/>
          <w:sz w:val="15"/>
          <w:szCs w:val="15"/>
        </w:rPr>
      </w:pPr>
      <w:r w:rsidRPr="009B2F30">
        <w:rPr>
          <w:rFonts w:asciiTheme="minorEastAsia" w:hAnsiTheme="minorEastAsia" w:hint="eastAsia"/>
          <w:b/>
          <w:spacing w:val="6"/>
          <w:position w:val="6"/>
          <w:sz w:val="15"/>
          <w:szCs w:val="15"/>
        </w:rPr>
        <w:t>三、表内、表间关系</w:t>
      </w:r>
    </w:p>
    <w:p w:rsidR="00476E8E" w:rsidRPr="00170F8F" w:rsidRDefault="00476E8E" w:rsidP="00170F8F">
      <w:pPr>
        <w:spacing w:line="0" w:lineRule="atLeast"/>
        <w:ind w:firstLineChars="218" w:firstLine="327"/>
        <w:rPr>
          <w:rFonts w:asciiTheme="minorEastAsia" w:hAnsiTheme="minorEastAsia"/>
          <w:sz w:val="15"/>
          <w:szCs w:val="15"/>
        </w:rPr>
      </w:pPr>
      <w:r w:rsidRPr="00170F8F">
        <w:rPr>
          <w:rFonts w:asciiTheme="minorEastAsia" w:hAnsiTheme="minorEastAsia" w:hint="eastAsia"/>
          <w:sz w:val="15"/>
          <w:szCs w:val="15"/>
        </w:rPr>
        <w:t>（一）表内关系</w:t>
      </w:r>
    </w:p>
    <w:p w:rsidR="00170F8F"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1.单元格为“*”时不填写，计算时跳过。</w:t>
      </w:r>
      <w:r w:rsidR="00EF34B5" w:rsidRPr="00170F8F">
        <w:rPr>
          <w:rFonts w:asciiTheme="minorEastAsia" w:eastAsiaTheme="minorEastAsia" w:hAnsiTheme="minorEastAsia" w:hint="eastAsia"/>
          <w:sz w:val="15"/>
          <w:szCs w:val="15"/>
        </w:rPr>
        <w:t xml:space="preserve">            </w:t>
      </w:r>
      <w:r w:rsidRPr="00170F8F">
        <w:rPr>
          <w:rFonts w:asciiTheme="minorEastAsia" w:eastAsiaTheme="minorEastAsia" w:hAnsiTheme="minorEastAsia" w:hint="eastAsia"/>
          <w:sz w:val="15"/>
          <w:szCs w:val="15"/>
        </w:rPr>
        <w:t>2.第1行=第2+3行。</w:t>
      </w:r>
      <w:r w:rsidR="00EF34B5" w:rsidRPr="00170F8F">
        <w:rPr>
          <w:rFonts w:asciiTheme="minorEastAsia" w:eastAsiaTheme="minorEastAsia" w:hAnsiTheme="minorEastAsia" w:hint="eastAsia"/>
          <w:sz w:val="15"/>
          <w:szCs w:val="15"/>
        </w:rPr>
        <w:t xml:space="preserve">               </w:t>
      </w:r>
    </w:p>
    <w:p w:rsidR="00476E8E"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3.第4行=第5+6行。</w:t>
      </w:r>
      <w:r w:rsidR="00EF34B5" w:rsidRPr="00170F8F">
        <w:rPr>
          <w:rFonts w:asciiTheme="minorEastAsia" w:eastAsiaTheme="minorEastAsia" w:hAnsiTheme="minorEastAsia" w:hint="eastAsia"/>
          <w:sz w:val="15"/>
          <w:szCs w:val="15"/>
        </w:rPr>
        <w:t xml:space="preserve">             </w:t>
      </w:r>
      <w:r w:rsidR="00170F8F" w:rsidRPr="00170F8F">
        <w:rPr>
          <w:rFonts w:asciiTheme="minorEastAsia" w:eastAsiaTheme="minorEastAsia" w:hAnsiTheme="minorEastAsia" w:hint="eastAsia"/>
          <w:sz w:val="15"/>
          <w:szCs w:val="15"/>
        </w:rPr>
        <w:t xml:space="preserve">                </w:t>
      </w:r>
      <w:r w:rsidR="00EF34B5" w:rsidRPr="00170F8F">
        <w:rPr>
          <w:rFonts w:asciiTheme="minorEastAsia" w:eastAsiaTheme="minorEastAsia" w:hAnsiTheme="minorEastAsia" w:hint="eastAsia"/>
          <w:sz w:val="15"/>
          <w:szCs w:val="15"/>
        </w:rPr>
        <w:t xml:space="preserve"> </w:t>
      </w:r>
      <w:r w:rsidRPr="00170F8F">
        <w:rPr>
          <w:rFonts w:asciiTheme="minorEastAsia" w:eastAsiaTheme="minorEastAsia" w:hAnsiTheme="minorEastAsia" w:hint="eastAsia"/>
          <w:sz w:val="15"/>
          <w:szCs w:val="15"/>
        </w:rPr>
        <w:t>4.第7行=第8+11行。</w:t>
      </w:r>
    </w:p>
    <w:p w:rsidR="00170F8F"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5.第8行=第9+10行。</w:t>
      </w:r>
      <w:r w:rsidR="00EF34B5" w:rsidRPr="00170F8F">
        <w:rPr>
          <w:rFonts w:asciiTheme="minorEastAsia" w:eastAsiaTheme="minorEastAsia" w:hAnsiTheme="minorEastAsia" w:hint="eastAsia"/>
          <w:sz w:val="15"/>
          <w:szCs w:val="15"/>
        </w:rPr>
        <w:t xml:space="preserve">    </w:t>
      </w:r>
      <w:r w:rsidR="00170F8F" w:rsidRPr="00170F8F">
        <w:rPr>
          <w:rFonts w:asciiTheme="minorEastAsia" w:eastAsiaTheme="minorEastAsia" w:hAnsiTheme="minorEastAsia" w:hint="eastAsia"/>
          <w:sz w:val="15"/>
          <w:szCs w:val="15"/>
        </w:rPr>
        <w:t xml:space="preserve">                        </w:t>
      </w:r>
      <w:r w:rsidR="00EF34B5" w:rsidRPr="00170F8F">
        <w:rPr>
          <w:rFonts w:asciiTheme="minorEastAsia" w:eastAsiaTheme="minorEastAsia" w:hAnsiTheme="minorEastAsia" w:hint="eastAsia"/>
          <w:sz w:val="15"/>
          <w:szCs w:val="15"/>
        </w:rPr>
        <w:t xml:space="preserve"> </w:t>
      </w:r>
      <w:r w:rsidRPr="00170F8F">
        <w:rPr>
          <w:rFonts w:asciiTheme="minorEastAsia" w:eastAsiaTheme="minorEastAsia" w:hAnsiTheme="minorEastAsia" w:hint="eastAsia"/>
          <w:sz w:val="15"/>
          <w:szCs w:val="15"/>
        </w:rPr>
        <w:t>6.第11行=第12+13行。</w:t>
      </w:r>
      <w:r w:rsidR="00EF34B5" w:rsidRPr="00170F8F">
        <w:rPr>
          <w:rFonts w:asciiTheme="minorEastAsia" w:eastAsiaTheme="minorEastAsia" w:hAnsiTheme="minorEastAsia" w:hint="eastAsia"/>
          <w:sz w:val="15"/>
          <w:szCs w:val="15"/>
        </w:rPr>
        <w:t xml:space="preserve">            </w:t>
      </w:r>
    </w:p>
    <w:p w:rsidR="00476E8E"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7.第14行=第1+4+7行。</w:t>
      </w:r>
    </w:p>
    <w:p w:rsidR="00476E8E"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由于合计行次同时兼顾“税会处理一致”、“税会处理不一致”两种情形，以下列间关系在合计行次（第1、4、7、8、11、14行）不成立，在其他行次成立。</w:t>
      </w:r>
    </w:p>
    <w:p w:rsidR="00170F8F"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8.第7列＝1列+4列。</w:t>
      </w:r>
      <w:r w:rsidR="00EF34B5" w:rsidRPr="00170F8F">
        <w:rPr>
          <w:rFonts w:asciiTheme="minorEastAsia" w:eastAsiaTheme="minorEastAsia" w:hAnsiTheme="minorEastAsia" w:hint="eastAsia"/>
          <w:sz w:val="15"/>
          <w:szCs w:val="15"/>
        </w:rPr>
        <w:t xml:space="preserve">                             </w:t>
      </w:r>
      <w:r w:rsidRPr="00170F8F">
        <w:rPr>
          <w:rFonts w:asciiTheme="minorEastAsia" w:eastAsiaTheme="minorEastAsia" w:hAnsiTheme="minorEastAsia" w:hint="eastAsia"/>
          <w:sz w:val="15"/>
          <w:szCs w:val="15"/>
        </w:rPr>
        <w:t>9.第10列＝2列+5列。</w:t>
      </w:r>
      <w:r w:rsidR="00EF34B5" w:rsidRPr="00170F8F">
        <w:rPr>
          <w:rFonts w:asciiTheme="minorEastAsia" w:eastAsiaTheme="minorEastAsia" w:hAnsiTheme="minorEastAsia" w:hint="eastAsia"/>
          <w:sz w:val="15"/>
          <w:szCs w:val="15"/>
        </w:rPr>
        <w:t xml:space="preserve">            </w:t>
      </w:r>
    </w:p>
    <w:p w:rsidR="00476E8E"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10.第11列＝10列-8列。</w:t>
      </w:r>
      <w:r w:rsidR="00EF34B5" w:rsidRPr="00170F8F">
        <w:rPr>
          <w:rFonts w:asciiTheme="minorEastAsia" w:eastAsiaTheme="minorEastAsia" w:hAnsiTheme="minorEastAsia" w:hint="eastAsia"/>
          <w:sz w:val="15"/>
          <w:szCs w:val="15"/>
        </w:rPr>
        <w:t xml:space="preserve">          </w:t>
      </w:r>
      <w:r w:rsidR="00170F8F" w:rsidRPr="00170F8F">
        <w:rPr>
          <w:rFonts w:asciiTheme="minorEastAsia" w:eastAsiaTheme="minorEastAsia" w:hAnsiTheme="minorEastAsia" w:hint="eastAsia"/>
          <w:sz w:val="15"/>
          <w:szCs w:val="15"/>
        </w:rPr>
        <w:t xml:space="preserve">               </w:t>
      </w:r>
      <w:r w:rsidR="00EF34B5" w:rsidRPr="00170F8F">
        <w:rPr>
          <w:rFonts w:asciiTheme="minorEastAsia" w:eastAsiaTheme="minorEastAsia" w:hAnsiTheme="minorEastAsia" w:hint="eastAsia"/>
          <w:sz w:val="15"/>
          <w:szCs w:val="15"/>
        </w:rPr>
        <w:t xml:space="preserve"> </w:t>
      </w:r>
      <w:r w:rsidRPr="00170F8F">
        <w:rPr>
          <w:rFonts w:asciiTheme="minorEastAsia" w:eastAsiaTheme="minorEastAsia" w:hAnsiTheme="minorEastAsia" w:hint="eastAsia"/>
          <w:sz w:val="15"/>
          <w:szCs w:val="15"/>
        </w:rPr>
        <w:t>11.第12列＝10列-9列。</w:t>
      </w:r>
    </w:p>
    <w:p w:rsidR="00170F8F"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12.第15列＝6列+3列。</w:t>
      </w:r>
      <w:r w:rsidR="00170F8F" w:rsidRPr="00170F8F">
        <w:rPr>
          <w:rFonts w:asciiTheme="minorEastAsia" w:eastAsiaTheme="minorEastAsia" w:hAnsiTheme="minorEastAsia" w:hint="eastAsia"/>
          <w:sz w:val="15"/>
          <w:szCs w:val="15"/>
        </w:rPr>
        <w:t xml:space="preserve">                        </w:t>
      </w:r>
      <w:r w:rsidR="00EF34B5" w:rsidRPr="00170F8F">
        <w:rPr>
          <w:rFonts w:asciiTheme="minorEastAsia" w:eastAsiaTheme="minorEastAsia" w:hAnsiTheme="minorEastAsia" w:hint="eastAsia"/>
          <w:sz w:val="15"/>
          <w:szCs w:val="15"/>
        </w:rPr>
        <w:t xml:space="preserve">   </w:t>
      </w:r>
      <w:r w:rsidRPr="00170F8F">
        <w:rPr>
          <w:rFonts w:asciiTheme="minorEastAsia" w:eastAsiaTheme="minorEastAsia" w:hAnsiTheme="minorEastAsia" w:hint="eastAsia"/>
          <w:sz w:val="15"/>
          <w:szCs w:val="15"/>
        </w:rPr>
        <w:t>13.第16列＝15列-13列。</w:t>
      </w:r>
      <w:r w:rsidR="00EF34B5" w:rsidRPr="00170F8F">
        <w:rPr>
          <w:rFonts w:asciiTheme="minorEastAsia" w:eastAsiaTheme="minorEastAsia" w:hAnsiTheme="minorEastAsia" w:hint="eastAsia"/>
          <w:sz w:val="15"/>
          <w:szCs w:val="15"/>
        </w:rPr>
        <w:t xml:space="preserve">         </w:t>
      </w:r>
    </w:p>
    <w:p w:rsidR="00476E8E"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14.第17列＝15列-14列。</w:t>
      </w:r>
      <w:r w:rsidR="00170F8F" w:rsidRPr="00170F8F">
        <w:rPr>
          <w:rFonts w:asciiTheme="minorEastAsia" w:eastAsiaTheme="minorEastAsia" w:hAnsiTheme="minorEastAsia" w:hint="eastAsia"/>
          <w:sz w:val="15"/>
          <w:szCs w:val="15"/>
        </w:rPr>
        <w:t xml:space="preserve"> </w:t>
      </w:r>
    </w:p>
    <w:p w:rsidR="00476E8E" w:rsidRPr="00170F8F" w:rsidRDefault="00476E8E" w:rsidP="00170F8F">
      <w:pPr>
        <w:pStyle w:val="a8"/>
        <w:spacing w:line="0" w:lineRule="atLeast"/>
        <w:ind w:left="6" w:firstLineChars="208" w:firstLine="312"/>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另外，第9、10行中，第4列=第6列。第12、13行中，第1列=第3列、第4列=第6列。</w:t>
      </w:r>
    </w:p>
    <w:p w:rsidR="00476E8E" w:rsidRPr="00170F8F" w:rsidRDefault="00476E8E" w:rsidP="00170F8F">
      <w:pPr>
        <w:pStyle w:val="a8"/>
        <w:spacing w:line="0" w:lineRule="atLeast"/>
        <w:ind w:firstLineChars="210" w:firstLine="315"/>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（二）表间关系</w:t>
      </w:r>
    </w:p>
    <w:p w:rsidR="00476E8E" w:rsidRPr="00170F8F" w:rsidRDefault="00476E8E" w:rsidP="00170F8F">
      <w:pPr>
        <w:pStyle w:val="a8"/>
        <w:spacing w:line="0" w:lineRule="atLeast"/>
        <w:ind w:firstLineChars="210" w:firstLine="315"/>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1.企业所得税月(季)度预缴纳税申报表(A类，2015年版)第7行“本期金额”=本表第14行第11列。</w:t>
      </w:r>
    </w:p>
    <w:p w:rsidR="00476E8E" w:rsidRPr="00170F8F" w:rsidRDefault="00476E8E" w:rsidP="00170F8F">
      <w:pPr>
        <w:pStyle w:val="a8"/>
        <w:spacing w:line="0" w:lineRule="atLeast"/>
        <w:ind w:firstLineChars="210" w:firstLine="315"/>
        <w:rPr>
          <w:rFonts w:asciiTheme="minorEastAsia" w:eastAsiaTheme="minorEastAsia" w:hAnsiTheme="minorEastAsia"/>
          <w:sz w:val="15"/>
          <w:szCs w:val="15"/>
        </w:rPr>
      </w:pPr>
      <w:r w:rsidRPr="00170F8F">
        <w:rPr>
          <w:rFonts w:asciiTheme="minorEastAsia" w:eastAsiaTheme="minorEastAsia" w:hAnsiTheme="minorEastAsia" w:hint="eastAsia"/>
          <w:sz w:val="15"/>
          <w:szCs w:val="15"/>
        </w:rPr>
        <w:t>2.企业所得税月(季)度预缴纳税申报表(A类，2015年版)第7行“累计金额”=本表第14行第16列。</w:t>
      </w:r>
    </w:p>
    <w:p w:rsidR="00476E8E" w:rsidRPr="00170F8F" w:rsidRDefault="00476E8E" w:rsidP="00170F8F">
      <w:pPr>
        <w:pStyle w:val="a8"/>
        <w:spacing w:line="0" w:lineRule="atLeast"/>
        <w:ind w:firstLineChars="210" w:firstLine="315"/>
        <w:rPr>
          <w:rFonts w:asciiTheme="minorEastAsia" w:eastAsiaTheme="minorEastAsia" w:hAnsiTheme="minorEastAsia"/>
          <w:sz w:val="15"/>
          <w:szCs w:val="15"/>
        </w:rPr>
      </w:pPr>
      <w:r w:rsidRPr="00170F8F">
        <w:rPr>
          <w:rFonts w:asciiTheme="minorEastAsia" w:eastAsiaTheme="minorEastAsia" w:hAnsiTheme="minorEastAsia" w:cs="宋体" w:hint="eastAsia"/>
          <w:sz w:val="15"/>
          <w:szCs w:val="15"/>
        </w:rPr>
        <w:t>《国家税务总局关于发布〈中华人民共和国企业所得税月（季）度预缴纳税申报表（2015年版）等报表〉的公告》（国家税务总局公告2015年第31号）主表与本附表逻辑关系，按上述规则相应调整。</w:t>
      </w:r>
    </w:p>
    <w:p w:rsidR="00170F8F" w:rsidRDefault="00170F8F" w:rsidP="001071B8">
      <w:pPr>
        <w:spacing w:line="0" w:lineRule="atLeast"/>
        <w:ind w:firstLineChars="200" w:firstLine="324"/>
        <w:rPr>
          <w:rFonts w:asciiTheme="minorEastAsia" w:hAnsiTheme="minorEastAsia"/>
          <w:spacing w:val="6"/>
          <w:position w:val="6"/>
          <w:sz w:val="15"/>
          <w:szCs w:val="15"/>
        </w:rPr>
      </w:pPr>
    </w:p>
    <w:p w:rsidR="00170F8F" w:rsidRDefault="00170F8F" w:rsidP="001071B8">
      <w:pPr>
        <w:spacing w:line="0" w:lineRule="atLeast"/>
        <w:ind w:firstLineChars="200" w:firstLine="324"/>
        <w:rPr>
          <w:rFonts w:asciiTheme="minorEastAsia" w:hAnsiTheme="minorEastAsia"/>
          <w:spacing w:val="6"/>
          <w:position w:val="6"/>
          <w:sz w:val="15"/>
          <w:szCs w:val="15"/>
        </w:rPr>
      </w:pPr>
    </w:p>
    <w:p w:rsidR="00170F8F" w:rsidRDefault="00170F8F" w:rsidP="001071B8">
      <w:pPr>
        <w:spacing w:line="0" w:lineRule="atLeast"/>
        <w:ind w:firstLineChars="200" w:firstLine="324"/>
        <w:rPr>
          <w:rFonts w:asciiTheme="minorEastAsia" w:hAnsiTheme="minorEastAsia"/>
          <w:spacing w:val="6"/>
          <w:position w:val="6"/>
          <w:sz w:val="15"/>
          <w:szCs w:val="15"/>
        </w:rPr>
      </w:pPr>
    </w:p>
    <w:p w:rsidR="00476E8E" w:rsidRPr="009B2F30" w:rsidRDefault="00476E8E" w:rsidP="009B2F30">
      <w:pPr>
        <w:spacing w:line="0" w:lineRule="atLeast"/>
        <w:ind w:firstLineChars="200" w:firstLine="325"/>
        <w:rPr>
          <w:rFonts w:asciiTheme="minorEastAsia" w:hAnsiTheme="minorEastAsia"/>
          <w:b/>
          <w:spacing w:val="6"/>
          <w:position w:val="6"/>
          <w:sz w:val="15"/>
          <w:szCs w:val="15"/>
        </w:rPr>
      </w:pPr>
      <w:r w:rsidRPr="009B2F30">
        <w:rPr>
          <w:rFonts w:asciiTheme="minorEastAsia" w:hAnsiTheme="minorEastAsia" w:hint="eastAsia"/>
          <w:b/>
          <w:spacing w:val="6"/>
          <w:position w:val="6"/>
          <w:sz w:val="15"/>
          <w:szCs w:val="15"/>
        </w:rPr>
        <w:lastRenderedPageBreak/>
        <w:t>四、可供选择的行业代码表</w:t>
      </w:r>
    </w:p>
    <w:p w:rsidR="00476E8E" w:rsidRPr="001071B8" w:rsidRDefault="00476E8E" w:rsidP="001071B8">
      <w:pPr>
        <w:spacing w:line="0" w:lineRule="atLeast"/>
        <w:jc w:val="center"/>
        <w:rPr>
          <w:rFonts w:asciiTheme="minorEastAsia" w:hAnsiTheme="minorEastAsia"/>
          <w:spacing w:val="6"/>
          <w:position w:val="6"/>
          <w:sz w:val="15"/>
          <w:szCs w:val="15"/>
        </w:rPr>
        <w:sectPr w:rsidR="00476E8E" w:rsidRPr="001071B8" w:rsidSect="00170F8F">
          <w:type w:val="continuous"/>
          <w:pgSz w:w="23814" w:h="16840" w:orient="landscape" w:code="8"/>
          <w:pgMar w:top="851" w:right="851" w:bottom="851" w:left="851" w:header="851" w:footer="992" w:gutter="0"/>
          <w:cols w:num="3" w:space="425"/>
          <w:docGrid w:type="lines" w:linePitch="312"/>
        </w:sectPr>
      </w:pPr>
    </w:p>
    <w:p w:rsidR="00476E8E" w:rsidRPr="001071B8" w:rsidRDefault="00476E8E" w:rsidP="001071B8">
      <w:pPr>
        <w:spacing w:line="0" w:lineRule="atLeast"/>
        <w:jc w:val="center"/>
        <w:rPr>
          <w:rFonts w:asciiTheme="minorEastAsia" w:hAnsiTheme="minorEastAsia"/>
          <w:b/>
          <w:spacing w:val="6"/>
          <w:position w:val="6"/>
          <w:sz w:val="15"/>
          <w:szCs w:val="15"/>
        </w:rPr>
      </w:pPr>
      <w:r w:rsidRPr="001071B8">
        <w:rPr>
          <w:rFonts w:asciiTheme="minorEastAsia" w:hAnsiTheme="minorEastAsia" w:hint="eastAsia"/>
          <w:b/>
          <w:spacing w:val="6"/>
          <w:position w:val="6"/>
          <w:sz w:val="15"/>
          <w:szCs w:val="15"/>
        </w:rPr>
        <w:lastRenderedPageBreak/>
        <w:t>重要领域（行业）固定资产加速折旧行业代码表</w:t>
      </w:r>
    </w:p>
    <w:tbl>
      <w:tblPr>
        <w:tblW w:w="725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629"/>
        <w:gridCol w:w="567"/>
        <w:gridCol w:w="520"/>
        <w:gridCol w:w="614"/>
        <w:gridCol w:w="3385"/>
        <w:gridCol w:w="976"/>
        <w:gridCol w:w="567"/>
      </w:tblGrid>
      <w:tr w:rsidR="00476E8E" w:rsidRPr="001071B8" w:rsidTr="00170F8F">
        <w:trPr>
          <w:trHeight w:val="113"/>
          <w:tblHeader/>
          <w:jc w:val="center"/>
        </w:trPr>
        <w:tc>
          <w:tcPr>
            <w:tcW w:w="2330" w:type="dxa"/>
            <w:gridSpan w:val="4"/>
            <w:tcBorders>
              <w:top w:val="single" w:sz="12" w:space="0" w:color="auto"/>
              <w:bottom w:val="single" w:sz="2" w:space="0" w:color="auto"/>
            </w:tcBorders>
            <w:shd w:val="clear" w:color="auto" w:fill="auto"/>
            <w:noWrap/>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lastRenderedPageBreak/>
              <w:t>代码</w:t>
            </w:r>
          </w:p>
        </w:tc>
        <w:tc>
          <w:tcPr>
            <w:tcW w:w="3385" w:type="dxa"/>
            <w:vMerge w:val="restart"/>
            <w:tcBorders>
              <w:top w:val="single" w:sz="12" w:space="0" w:color="auto"/>
            </w:tcBorders>
            <w:shd w:val="clear" w:color="auto" w:fill="auto"/>
            <w:noWrap/>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类别名称</w:t>
            </w:r>
          </w:p>
        </w:tc>
        <w:tc>
          <w:tcPr>
            <w:tcW w:w="976" w:type="dxa"/>
            <w:tcBorders>
              <w:top w:val="single" w:sz="12" w:space="0" w:color="auto"/>
              <w:bottom w:val="nil"/>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文件依据</w:t>
            </w:r>
          </w:p>
        </w:tc>
        <w:tc>
          <w:tcPr>
            <w:tcW w:w="567" w:type="dxa"/>
            <w:tcBorders>
              <w:top w:val="single" w:sz="12" w:space="0" w:color="auto"/>
              <w:bottom w:val="nil"/>
            </w:tcBorders>
            <w:shd w:val="clear" w:color="auto" w:fill="auto"/>
            <w:vAlign w:val="center"/>
          </w:tcPr>
          <w:p w:rsidR="00476E8E" w:rsidRPr="001071B8" w:rsidRDefault="00476E8E" w:rsidP="00170F8F">
            <w:pPr>
              <w:spacing w:line="0" w:lineRule="atLeast"/>
              <w:rPr>
                <w:rFonts w:ascii="宋体" w:hAnsi="宋体" w:cs="宋体"/>
                <w:sz w:val="15"/>
                <w:szCs w:val="15"/>
              </w:rPr>
            </w:pPr>
            <w:r w:rsidRPr="001071B8">
              <w:rPr>
                <w:rFonts w:ascii="宋体" w:hAnsi="宋体" w:cs="宋体" w:hint="eastAsia"/>
                <w:sz w:val="15"/>
                <w:szCs w:val="15"/>
              </w:rPr>
              <w:t>领域</w:t>
            </w:r>
          </w:p>
        </w:tc>
      </w:tr>
      <w:tr w:rsidR="00170F8F" w:rsidRPr="001071B8" w:rsidTr="00170F8F">
        <w:trPr>
          <w:trHeight w:val="113"/>
          <w:tblHeader/>
          <w:jc w:val="center"/>
        </w:trPr>
        <w:tc>
          <w:tcPr>
            <w:tcW w:w="629" w:type="dxa"/>
            <w:tcBorders>
              <w:top w:val="single" w:sz="2" w:space="0" w:color="auto"/>
              <w:bottom w:val="single" w:sz="12" w:space="0" w:color="auto"/>
            </w:tcBorders>
            <w:shd w:val="clear" w:color="auto" w:fill="auto"/>
            <w:noWrap/>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门类</w:t>
            </w:r>
          </w:p>
        </w:tc>
        <w:tc>
          <w:tcPr>
            <w:tcW w:w="567" w:type="dxa"/>
            <w:tcBorders>
              <w:top w:val="single" w:sz="2" w:space="0" w:color="auto"/>
              <w:bottom w:val="single" w:sz="12" w:space="0" w:color="auto"/>
            </w:tcBorders>
            <w:shd w:val="clear" w:color="auto" w:fill="auto"/>
            <w:noWrap/>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大类</w:t>
            </w:r>
          </w:p>
        </w:tc>
        <w:tc>
          <w:tcPr>
            <w:tcW w:w="520" w:type="dxa"/>
            <w:tcBorders>
              <w:top w:val="single" w:sz="2" w:space="0" w:color="auto"/>
              <w:bottom w:val="single" w:sz="12" w:space="0" w:color="auto"/>
            </w:tcBorders>
            <w:shd w:val="clear" w:color="auto" w:fill="auto"/>
            <w:noWrap/>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中类</w:t>
            </w:r>
          </w:p>
        </w:tc>
        <w:tc>
          <w:tcPr>
            <w:tcW w:w="614" w:type="dxa"/>
            <w:tcBorders>
              <w:top w:val="single" w:sz="2" w:space="0" w:color="auto"/>
              <w:bottom w:val="single" w:sz="12" w:space="0" w:color="auto"/>
            </w:tcBorders>
            <w:shd w:val="clear" w:color="auto" w:fill="auto"/>
            <w:noWrap/>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小类</w:t>
            </w:r>
          </w:p>
        </w:tc>
        <w:tc>
          <w:tcPr>
            <w:tcW w:w="3385" w:type="dxa"/>
            <w:vMerge/>
            <w:tcBorders>
              <w:bottom w:val="single" w:sz="12" w:space="0" w:color="auto"/>
            </w:tcBorders>
            <w:shd w:val="clear" w:color="auto" w:fill="auto"/>
            <w:vAlign w:val="center"/>
          </w:tcPr>
          <w:p w:rsidR="00476E8E" w:rsidRPr="001071B8" w:rsidRDefault="00476E8E" w:rsidP="001071B8">
            <w:pPr>
              <w:spacing w:line="0" w:lineRule="atLeast"/>
              <w:jc w:val="left"/>
              <w:rPr>
                <w:rFonts w:ascii="宋体" w:hAnsi="宋体" w:cs="宋体"/>
                <w:sz w:val="15"/>
                <w:szCs w:val="15"/>
              </w:rPr>
            </w:pPr>
          </w:p>
        </w:tc>
        <w:tc>
          <w:tcPr>
            <w:tcW w:w="976" w:type="dxa"/>
            <w:tcBorders>
              <w:top w:val="nil"/>
              <w:bottom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p>
        </w:tc>
        <w:tc>
          <w:tcPr>
            <w:tcW w:w="567" w:type="dxa"/>
            <w:tcBorders>
              <w:top w:val="nil"/>
              <w:bottom w:val="single" w:sz="12" w:space="0" w:color="auto"/>
            </w:tcBorders>
            <w:shd w:val="clear" w:color="auto" w:fill="auto"/>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行业</w:t>
            </w:r>
          </w:p>
        </w:tc>
      </w:tr>
      <w:tr w:rsidR="00F46EA7" w:rsidRPr="001071B8" w:rsidTr="00F46EA7">
        <w:trPr>
          <w:trHeight w:val="1994"/>
          <w:jc w:val="center"/>
        </w:trPr>
        <w:tc>
          <w:tcPr>
            <w:tcW w:w="629"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13</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tc>
        <w:tc>
          <w:tcPr>
            <w:tcW w:w="520"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131</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132</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133</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134</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135</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136</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137</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139</w:t>
            </w:r>
          </w:p>
        </w:tc>
        <w:tc>
          <w:tcPr>
            <w:tcW w:w="614"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1310</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1320</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1340</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tc>
        <w:tc>
          <w:tcPr>
            <w:tcW w:w="3385"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农副食品加工业</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谷物磨制</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饲料加工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植物油加工</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制糖业</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屠宰及肉类加工</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水产品加工</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蔬菜、水果和坚果加工</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其他农副食品加工  </w:t>
            </w:r>
          </w:p>
        </w:tc>
        <w:tc>
          <w:tcPr>
            <w:tcW w:w="976" w:type="dxa"/>
            <w:tcBorders>
              <w:top w:val="single" w:sz="12" w:space="0" w:color="auto"/>
            </w:tcBorders>
            <w:shd w:val="clear" w:color="auto" w:fill="auto"/>
            <w:vAlign w:val="center"/>
          </w:tcPr>
          <w:p w:rsidR="00F46EA7" w:rsidRPr="001071B8" w:rsidRDefault="00F46EA7"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tcBorders>
              <w:top w:val="single" w:sz="12" w:space="0" w:color="auto"/>
            </w:tcBorders>
            <w:shd w:val="clear" w:color="auto" w:fill="auto"/>
            <w:vAlign w:val="center"/>
          </w:tcPr>
          <w:p w:rsidR="00F46EA7" w:rsidRPr="001071B8" w:rsidRDefault="00F46EA7"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14</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食品制造业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焙烤食品制造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糖果、巧克力及蜜饯制造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方便食品制造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1440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乳制品制造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罐头食品制造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146</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调味品、发酵制品制造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F46EA7">
        <w:trPr>
          <w:trHeight w:val="384"/>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149</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其他食品制造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17</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纺织业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纺织</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171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棉纺织及印染精加工</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172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毛纺织及染整精加工</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F46EA7" w:rsidRPr="001071B8" w:rsidTr="00F46EA7">
        <w:trPr>
          <w:trHeight w:val="1503"/>
          <w:jc w:val="center"/>
        </w:trPr>
        <w:tc>
          <w:tcPr>
            <w:tcW w:w="629"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173</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174</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175</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176</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177</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178</w:t>
            </w:r>
          </w:p>
        </w:tc>
        <w:tc>
          <w:tcPr>
            <w:tcW w:w="614"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麻纺织及染整精加工</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丝绢纺织及印染精加工</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化纤织造及印染精加工</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针织或钩针编织物及其制品制造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家用纺织制成品制造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非家用纺织制成品制造</w:t>
            </w:r>
          </w:p>
        </w:tc>
        <w:tc>
          <w:tcPr>
            <w:tcW w:w="976" w:type="dxa"/>
            <w:vMerge/>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vAlign w:val="center"/>
          </w:tcPr>
          <w:p w:rsidR="00F46EA7" w:rsidRPr="001071B8" w:rsidRDefault="00F46EA7"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18</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纺织服装、服饰业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纺织</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181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1810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机织服装制造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182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1820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针织或钩针编织服装制造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F46EA7">
        <w:trPr>
          <w:trHeight w:val="358"/>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183</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1830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服饰制造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19</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皮革、毛皮、羽毛及其制品和制鞋业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191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1910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皮革鞣制加工</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192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皮革制品制造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193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毛皮鞣制及制品加工</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194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羽毛(绒)加工及制品制造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F46EA7">
        <w:trPr>
          <w:trHeight w:val="378"/>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195</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制鞋业</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20</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木材加工和木、竹、藤、棕、草制品业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201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木材加工</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202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人造板制造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203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木制品制造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F46EA7">
        <w:trPr>
          <w:trHeight w:val="466"/>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204</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竹、藤、棕、草等制品制造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21</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家具制造业 </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2110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木质家具制造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2120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竹、藤家具制造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2130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金属家具制造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2140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塑料家具制造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F46EA7">
        <w:trPr>
          <w:trHeight w:val="374"/>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219</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2190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其他家具制造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22</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造纸和纸制品业 </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221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纸浆制造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222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造纸</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223</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纸制品制造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23</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印刷和记录媒介复制业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231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印刷</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232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2320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装订及印刷相关服务</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233</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2330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记录媒介复制</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24</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文教、工美、体育和娱乐用品制造业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241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文教办公用品制造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242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乐器制造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243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工艺美术品制造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244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体育用品制造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245</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2450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玩具制造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F46EA7" w:rsidRPr="001071B8" w:rsidTr="00F46EA7">
        <w:trPr>
          <w:trHeight w:val="1319"/>
          <w:jc w:val="center"/>
        </w:trPr>
        <w:tc>
          <w:tcPr>
            <w:tcW w:w="629"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268</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w:t>
            </w:r>
          </w:p>
        </w:tc>
        <w:tc>
          <w:tcPr>
            <w:tcW w:w="614"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2681</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2682</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2683</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2684</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2689</w:t>
            </w:r>
          </w:p>
        </w:tc>
        <w:tc>
          <w:tcPr>
            <w:tcW w:w="3385" w:type="dxa"/>
            <w:tcBorders>
              <w:top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日用化学产品制造</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肥皂及合成洗涤剂制造</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化妆品制造</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口腔清洁用品制造</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香料、香精制造</w:t>
            </w:r>
          </w:p>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sz w:val="15"/>
                <w:szCs w:val="15"/>
              </w:rPr>
              <w:t xml:space="preserve">    其他日用化学产品制造</w:t>
            </w:r>
          </w:p>
        </w:tc>
        <w:tc>
          <w:tcPr>
            <w:tcW w:w="976" w:type="dxa"/>
            <w:tcBorders>
              <w:top w:val="single" w:sz="12" w:space="0" w:color="auto"/>
            </w:tcBorders>
            <w:shd w:val="clear" w:color="auto" w:fill="auto"/>
            <w:vAlign w:val="center"/>
          </w:tcPr>
          <w:p w:rsidR="00F46EA7" w:rsidRPr="001071B8" w:rsidRDefault="00F46EA7"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tcBorders>
              <w:top w:val="single" w:sz="12" w:space="0" w:color="auto"/>
            </w:tcBorders>
            <w:shd w:val="clear" w:color="auto" w:fill="auto"/>
            <w:vAlign w:val="center"/>
          </w:tcPr>
          <w:p w:rsidR="00F46EA7" w:rsidRPr="001071B8" w:rsidRDefault="00F46EA7"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27</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医药制造业 </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2710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化学药品原料药制造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2720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化学药品制剂制造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2730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中药饮片加工</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2740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中成药生产</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2750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兽用药品制造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277</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2770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卫生材料及医药用品制造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single" w:sz="12" w:space="0" w:color="auto"/>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276</w:t>
            </w:r>
          </w:p>
        </w:tc>
        <w:tc>
          <w:tcPr>
            <w:tcW w:w="614" w:type="dxa"/>
            <w:tcBorders>
              <w:top w:val="single" w:sz="12" w:space="0" w:color="auto"/>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2760</w:t>
            </w:r>
          </w:p>
        </w:tc>
        <w:tc>
          <w:tcPr>
            <w:tcW w:w="3385" w:type="dxa"/>
            <w:tcBorders>
              <w:top w:val="single" w:sz="12" w:space="0" w:color="auto"/>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生物药品制造</w:t>
            </w:r>
          </w:p>
        </w:tc>
        <w:tc>
          <w:tcPr>
            <w:tcW w:w="976" w:type="dxa"/>
            <w:tcBorders>
              <w:top w:val="single" w:sz="12" w:space="0" w:color="auto"/>
              <w:bottom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财税〔2014〕75号</w:t>
            </w:r>
          </w:p>
        </w:tc>
        <w:tc>
          <w:tcPr>
            <w:tcW w:w="567" w:type="dxa"/>
            <w:tcBorders>
              <w:top w:val="single" w:sz="12" w:space="0" w:color="auto"/>
              <w:bottom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生物药品制造</w:t>
            </w: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28</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化学纤维制造业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纺织</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281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纤维素纤维原料及纤维制造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282</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合成纤维制造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292</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塑料制品业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轻工</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2921</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塑料薄膜制造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2922</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塑料板、管、型材制造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2923</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塑料丝、绳及编织品制造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2924</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泡沫塑料制造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2925</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塑料人造革、合成革制造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2926</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塑料包装箱及容器制造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2927</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日用塑料制品制造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2928</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塑料零件制造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2929</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其他塑料制品制造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33</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金属制品业 </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机械</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结构性金属制品制造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金属工具制造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集装箱及金属包装容器制造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3340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金属丝绳及其制品制造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建筑、安全用金属制品制造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336</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3360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金属表面处理及热处理加工</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337</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搪瓷制品制造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338</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金属制日用品制造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339</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其他金属制品制造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34</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通用设备制造业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机械</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341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锅炉及原动设备制造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F46EA7" w:rsidRPr="001071B8" w:rsidTr="00F46EA7">
        <w:trPr>
          <w:trHeight w:val="1769"/>
          <w:jc w:val="center"/>
        </w:trPr>
        <w:tc>
          <w:tcPr>
            <w:tcW w:w="629"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342</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343</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344</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345</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346</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347</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348</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349</w:t>
            </w:r>
          </w:p>
        </w:tc>
        <w:tc>
          <w:tcPr>
            <w:tcW w:w="614"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3490</w:t>
            </w:r>
          </w:p>
        </w:tc>
        <w:tc>
          <w:tcPr>
            <w:tcW w:w="3385"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金属加工机械制造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物料搬运设备制造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泵、阀门、压缩机及类似机械制造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轴承、齿轮和传动部件制造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烘炉、风机、衡器、包装等设备制造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文化、办公用机械制造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通用零部件制造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其他通用设备制造业</w:t>
            </w:r>
          </w:p>
        </w:tc>
        <w:tc>
          <w:tcPr>
            <w:tcW w:w="976" w:type="dxa"/>
            <w:vMerge/>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vAlign w:val="center"/>
          </w:tcPr>
          <w:p w:rsidR="00F46EA7" w:rsidRPr="001071B8" w:rsidRDefault="00F46EA7"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35</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专用设备制造业 </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财税〔2014〕75号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专用设备制造业</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采矿、冶金、建筑专用设备制造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化工、木材、非金属加工专用设备制造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食品、饮料、烟草及饲料生产专用设备制造　　　</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印刷、制药、日化及日用品生产专用设备制造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纺织、服装和皮革加工专用设备制造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356</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电子和电工机械专用设备制造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357</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农、林、牧、渔专用机械制造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358</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医疗仪器设备及器械制造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D74F72">
        <w:trPr>
          <w:trHeight w:val="334"/>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359</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环保、社会公共服务及其他专用设备制造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36</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汽车制造业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汽车</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3610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汽车整车制造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3620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改装汽车制造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3630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低速载货汽车制造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3640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电车制造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3650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汽车车身、挂车制造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F46EA7">
        <w:trPr>
          <w:trHeight w:val="474"/>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366</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3660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汽车零部件及配件制造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F46EA7" w:rsidRPr="001071B8" w:rsidTr="00170F8F">
        <w:trPr>
          <w:trHeight w:val="113"/>
          <w:jc w:val="center"/>
        </w:trPr>
        <w:tc>
          <w:tcPr>
            <w:tcW w:w="629" w:type="dxa"/>
            <w:tcBorders>
              <w:top w:val="single" w:sz="12" w:space="0" w:color="auto"/>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37</w:t>
            </w:r>
          </w:p>
        </w:tc>
        <w:tc>
          <w:tcPr>
            <w:tcW w:w="520" w:type="dxa"/>
            <w:tcBorders>
              <w:top w:val="single" w:sz="12" w:space="0" w:color="auto"/>
              <w:bottom w:val="nil"/>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F46EA7" w:rsidRPr="001071B8" w:rsidRDefault="00F46EA7" w:rsidP="001071B8">
            <w:pPr>
              <w:spacing w:line="0" w:lineRule="atLeast"/>
              <w:jc w:val="left"/>
              <w:rPr>
                <w:rFonts w:ascii="宋体" w:hAnsi="宋体" w:cs="宋体"/>
                <w:b/>
                <w:sz w:val="15"/>
                <w:szCs w:val="15"/>
              </w:rPr>
            </w:pPr>
            <w:r w:rsidRPr="001071B8">
              <w:rPr>
                <w:rFonts w:ascii="宋体" w:hAnsi="宋体" w:cs="宋体" w:hint="eastAsia"/>
                <w:b/>
                <w:sz w:val="15"/>
                <w:szCs w:val="15"/>
              </w:rPr>
              <w:t>铁路、船舶、航空航天和其他运输设备制造业</w:t>
            </w:r>
          </w:p>
        </w:tc>
        <w:tc>
          <w:tcPr>
            <w:tcW w:w="976" w:type="dxa"/>
            <w:vMerge w:val="restart"/>
            <w:tcBorders>
              <w:top w:val="single" w:sz="12" w:space="0" w:color="auto"/>
            </w:tcBorders>
            <w:shd w:val="clear" w:color="auto" w:fill="auto"/>
            <w:vAlign w:val="center"/>
          </w:tcPr>
          <w:p w:rsidR="00F46EA7" w:rsidRPr="001071B8" w:rsidRDefault="00F46EA7" w:rsidP="001071B8">
            <w:pPr>
              <w:spacing w:line="0" w:lineRule="atLeast"/>
              <w:jc w:val="center"/>
              <w:rPr>
                <w:rFonts w:ascii="宋体" w:hAnsi="宋体" w:cs="宋体"/>
                <w:sz w:val="15"/>
                <w:szCs w:val="15"/>
              </w:rPr>
            </w:pPr>
            <w:r w:rsidRPr="001071B8">
              <w:rPr>
                <w:rFonts w:ascii="宋体" w:hAnsi="宋体" w:cs="宋体" w:hint="eastAsia"/>
                <w:sz w:val="15"/>
                <w:szCs w:val="15"/>
              </w:rPr>
              <w:t>财税〔2014〕75号</w:t>
            </w:r>
          </w:p>
        </w:tc>
        <w:tc>
          <w:tcPr>
            <w:tcW w:w="567" w:type="dxa"/>
            <w:vMerge w:val="restart"/>
            <w:tcBorders>
              <w:top w:val="single" w:sz="12" w:space="0" w:color="auto"/>
            </w:tcBorders>
            <w:shd w:val="clear" w:color="auto" w:fill="auto"/>
            <w:vAlign w:val="center"/>
          </w:tcPr>
          <w:p w:rsidR="00F46EA7" w:rsidRPr="001071B8" w:rsidRDefault="00F46EA7" w:rsidP="001071B8">
            <w:pPr>
              <w:spacing w:line="0" w:lineRule="atLeast"/>
              <w:jc w:val="center"/>
              <w:rPr>
                <w:rFonts w:ascii="宋体" w:hAnsi="宋体" w:cs="宋体"/>
                <w:sz w:val="15"/>
                <w:szCs w:val="15"/>
              </w:rPr>
            </w:pPr>
            <w:r w:rsidRPr="001071B8">
              <w:rPr>
                <w:rFonts w:ascii="宋体" w:hAnsi="宋体" w:cs="宋体" w:hint="eastAsia"/>
                <w:sz w:val="15"/>
                <w:szCs w:val="15"/>
              </w:rPr>
              <w:t>铁路、船舶、航空航天</w:t>
            </w:r>
          </w:p>
          <w:p w:rsidR="00F46EA7" w:rsidRPr="001071B8" w:rsidRDefault="00F46EA7" w:rsidP="001071B8">
            <w:pPr>
              <w:spacing w:line="0" w:lineRule="atLeast"/>
              <w:jc w:val="center"/>
              <w:rPr>
                <w:rFonts w:ascii="宋体" w:hAnsi="宋体" w:cs="宋体"/>
                <w:sz w:val="15"/>
                <w:szCs w:val="15"/>
              </w:rPr>
            </w:pPr>
            <w:r w:rsidRPr="001071B8">
              <w:rPr>
                <w:rFonts w:ascii="宋体" w:hAnsi="宋体" w:cs="宋体" w:hint="eastAsia"/>
                <w:sz w:val="15"/>
                <w:szCs w:val="15"/>
              </w:rPr>
              <w:t>和其他运输设备制造业</w:t>
            </w:r>
          </w:p>
        </w:tc>
      </w:tr>
      <w:tr w:rsidR="00F46EA7" w:rsidRPr="001071B8" w:rsidTr="00170F8F">
        <w:trPr>
          <w:trHeight w:val="113"/>
          <w:jc w:val="center"/>
        </w:trPr>
        <w:tc>
          <w:tcPr>
            <w:tcW w:w="629"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371</w:t>
            </w:r>
          </w:p>
        </w:tc>
        <w:tc>
          <w:tcPr>
            <w:tcW w:w="614"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铁路运输设备制造</w:t>
            </w:r>
          </w:p>
        </w:tc>
        <w:tc>
          <w:tcPr>
            <w:tcW w:w="976" w:type="dxa"/>
            <w:vMerge/>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vAlign w:val="center"/>
          </w:tcPr>
          <w:p w:rsidR="00F46EA7" w:rsidRPr="001071B8" w:rsidRDefault="00F46EA7" w:rsidP="001071B8">
            <w:pPr>
              <w:spacing w:line="0" w:lineRule="atLeast"/>
              <w:jc w:val="center"/>
              <w:rPr>
                <w:rFonts w:ascii="宋体" w:hAnsi="宋体" w:cs="宋体"/>
                <w:sz w:val="15"/>
                <w:szCs w:val="15"/>
              </w:rPr>
            </w:pPr>
          </w:p>
        </w:tc>
      </w:tr>
      <w:tr w:rsidR="00F46EA7" w:rsidRPr="001071B8" w:rsidTr="00F46EA7">
        <w:trPr>
          <w:trHeight w:val="609"/>
          <w:jc w:val="center"/>
        </w:trPr>
        <w:tc>
          <w:tcPr>
            <w:tcW w:w="629"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372</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373</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374</w:t>
            </w:r>
          </w:p>
        </w:tc>
        <w:tc>
          <w:tcPr>
            <w:tcW w:w="614"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3720</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城市轨道交通设备制造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船舶及相关装置制造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航空、航天器及设备制造</w:t>
            </w:r>
          </w:p>
        </w:tc>
        <w:tc>
          <w:tcPr>
            <w:tcW w:w="976" w:type="dxa"/>
            <w:vMerge/>
            <w:tcBorders>
              <w:bottom w:val="single" w:sz="2" w:space="0" w:color="auto"/>
            </w:tcBorders>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tcBorders>
              <w:bottom w:val="single" w:sz="2" w:space="0" w:color="auto"/>
            </w:tcBorders>
            <w:vAlign w:val="center"/>
          </w:tcPr>
          <w:p w:rsidR="00F46EA7" w:rsidRPr="001071B8" w:rsidRDefault="00F46EA7" w:rsidP="001071B8">
            <w:pPr>
              <w:spacing w:line="0" w:lineRule="atLeast"/>
              <w:jc w:val="center"/>
              <w:rPr>
                <w:rFonts w:ascii="宋体" w:hAnsi="宋体" w:cs="宋体"/>
                <w:sz w:val="15"/>
                <w:szCs w:val="15"/>
              </w:rPr>
            </w:pPr>
          </w:p>
        </w:tc>
      </w:tr>
      <w:tr w:rsidR="00F46EA7" w:rsidRPr="001071B8" w:rsidTr="00F46EA7">
        <w:trPr>
          <w:trHeight w:val="113"/>
          <w:jc w:val="center"/>
        </w:trPr>
        <w:tc>
          <w:tcPr>
            <w:tcW w:w="629"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375</w:t>
            </w:r>
          </w:p>
        </w:tc>
        <w:tc>
          <w:tcPr>
            <w:tcW w:w="614"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摩托车制造</w:t>
            </w:r>
          </w:p>
        </w:tc>
        <w:tc>
          <w:tcPr>
            <w:tcW w:w="976" w:type="dxa"/>
            <w:vMerge/>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vAlign w:val="center"/>
          </w:tcPr>
          <w:p w:rsidR="00F46EA7" w:rsidRPr="001071B8" w:rsidRDefault="00F46EA7" w:rsidP="001071B8">
            <w:pPr>
              <w:spacing w:line="0" w:lineRule="atLeast"/>
              <w:jc w:val="center"/>
              <w:rPr>
                <w:rFonts w:ascii="宋体" w:hAnsi="宋体" w:cs="宋体"/>
                <w:sz w:val="15"/>
                <w:szCs w:val="15"/>
              </w:rPr>
            </w:pPr>
          </w:p>
        </w:tc>
      </w:tr>
      <w:tr w:rsidR="00F46EA7" w:rsidRPr="001071B8" w:rsidTr="00F46EA7">
        <w:trPr>
          <w:trHeight w:val="113"/>
          <w:jc w:val="center"/>
        </w:trPr>
        <w:tc>
          <w:tcPr>
            <w:tcW w:w="629"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376</w:t>
            </w:r>
          </w:p>
        </w:tc>
        <w:tc>
          <w:tcPr>
            <w:tcW w:w="614"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自行车制造</w:t>
            </w:r>
          </w:p>
        </w:tc>
        <w:tc>
          <w:tcPr>
            <w:tcW w:w="976" w:type="dxa"/>
            <w:vMerge/>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vAlign w:val="center"/>
          </w:tcPr>
          <w:p w:rsidR="00F46EA7" w:rsidRPr="001071B8" w:rsidRDefault="00F46EA7" w:rsidP="001071B8">
            <w:pPr>
              <w:spacing w:line="0" w:lineRule="atLeast"/>
              <w:jc w:val="center"/>
              <w:rPr>
                <w:rFonts w:ascii="宋体" w:hAnsi="宋体" w:cs="宋体"/>
                <w:sz w:val="15"/>
                <w:szCs w:val="15"/>
              </w:rPr>
            </w:pPr>
          </w:p>
        </w:tc>
      </w:tr>
      <w:tr w:rsidR="00F46EA7" w:rsidRPr="001071B8" w:rsidTr="00F46EA7">
        <w:trPr>
          <w:trHeight w:val="113"/>
          <w:jc w:val="center"/>
        </w:trPr>
        <w:tc>
          <w:tcPr>
            <w:tcW w:w="629"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377</w:t>
            </w:r>
          </w:p>
        </w:tc>
        <w:tc>
          <w:tcPr>
            <w:tcW w:w="614"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3770</w:t>
            </w:r>
          </w:p>
        </w:tc>
        <w:tc>
          <w:tcPr>
            <w:tcW w:w="3385" w:type="dxa"/>
            <w:tcBorders>
              <w:top w:val="nil"/>
              <w:bottom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非公路休闲车及零配件制造</w:t>
            </w:r>
          </w:p>
        </w:tc>
        <w:tc>
          <w:tcPr>
            <w:tcW w:w="976" w:type="dxa"/>
            <w:vMerge/>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vAlign w:val="center"/>
          </w:tcPr>
          <w:p w:rsidR="00F46EA7" w:rsidRPr="001071B8" w:rsidRDefault="00F46EA7" w:rsidP="001071B8">
            <w:pPr>
              <w:spacing w:line="0" w:lineRule="atLeast"/>
              <w:jc w:val="center"/>
              <w:rPr>
                <w:rFonts w:ascii="宋体" w:hAnsi="宋体" w:cs="宋体"/>
                <w:sz w:val="15"/>
                <w:szCs w:val="15"/>
              </w:rPr>
            </w:pPr>
          </w:p>
        </w:tc>
      </w:tr>
      <w:tr w:rsidR="00F46EA7" w:rsidRPr="001071B8" w:rsidTr="00F46EA7">
        <w:trPr>
          <w:trHeight w:val="113"/>
          <w:jc w:val="center"/>
        </w:trPr>
        <w:tc>
          <w:tcPr>
            <w:tcW w:w="629" w:type="dxa"/>
            <w:tcBorders>
              <w:top w:val="nil"/>
              <w:bottom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379</w:t>
            </w:r>
          </w:p>
        </w:tc>
        <w:tc>
          <w:tcPr>
            <w:tcW w:w="614" w:type="dxa"/>
            <w:tcBorders>
              <w:top w:val="nil"/>
              <w:bottom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潜水救捞及其他未列明运输设备制造</w:t>
            </w:r>
          </w:p>
        </w:tc>
        <w:tc>
          <w:tcPr>
            <w:tcW w:w="976" w:type="dxa"/>
            <w:vMerge/>
            <w:tcBorders>
              <w:bottom w:val="single" w:sz="12" w:space="0" w:color="auto"/>
            </w:tcBorders>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F46EA7" w:rsidRPr="001071B8" w:rsidRDefault="00F46EA7"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38</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电气机械和器材制造业 </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财税〔2015〕106号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机械</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381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电机制造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382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输配电及控制设备制造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383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电线、电缆、光缆及电工器材制造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384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电池制造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385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家用电力器具制造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F46EA7" w:rsidRPr="001071B8" w:rsidTr="00F46EA7">
        <w:trPr>
          <w:trHeight w:val="644"/>
          <w:jc w:val="center"/>
        </w:trPr>
        <w:tc>
          <w:tcPr>
            <w:tcW w:w="629"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386</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387</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389</w:t>
            </w:r>
          </w:p>
        </w:tc>
        <w:tc>
          <w:tcPr>
            <w:tcW w:w="614"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tcBorders>
            <w:shd w:val="clear" w:color="auto" w:fill="auto"/>
            <w:noWrap/>
            <w:vAlign w:val="center"/>
          </w:tcPr>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非电力家用器具制造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照明器具制造</w:t>
            </w:r>
          </w:p>
          <w:p w:rsidR="00F46EA7" w:rsidRPr="001071B8" w:rsidRDefault="00F46EA7"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其他电气机械及器材制造</w:t>
            </w:r>
          </w:p>
        </w:tc>
        <w:tc>
          <w:tcPr>
            <w:tcW w:w="976" w:type="dxa"/>
            <w:vMerge/>
            <w:vAlign w:val="center"/>
          </w:tcPr>
          <w:p w:rsidR="00F46EA7" w:rsidRPr="001071B8" w:rsidRDefault="00F46EA7" w:rsidP="001071B8">
            <w:pPr>
              <w:spacing w:line="0" w:lineRule="atLeast"/>
              <w:jc w:val="center"/>
              <w:rPr>
                <w:rFonts w:ascii="宋体" w:hAnsi="宋体" w:cs="宋体"/>
                <w:sz w:val="15"/>
                <w:szCs w:val="15"/>
              </w:rPr>
            </w:pPr>
          </w:p>
        </w:tc>
        <w:tc>
          <w:tcPr>
            <w:tcW w:w="567" w:type="dxa"/>
            <w:vMerge/>
            <w:vAlign w:val="center"/>
          </w:tcPr>
          <w:p w:rsidR="00F46EA7" w:rsidRPr="001071B8" w:rsidRDefault="00F46EA7"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39</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计算机、通信和其他电子设备制造业</w:t>
            </w:r>
          </w:p>
        </w:tc>
        <w:tc>
          <w:tcPr>
            <w:tcW w:w="976"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财税〔2014〕75号</w:t>
            </w:r>
          </w:p>
        </w:tc>
        <w:tc>
          <w:tcPr>
            <w:tcW w:w="567" w:type="dxa"/>
            <w:vMerge w:val="restart"/>
            <w:tcBorders>
              <w:top w:val="single" w:sz="1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计算机、通信和其他电子设备制造业</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计算机制造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通信设备制造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广播电视设备制造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3940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雷达及配套设备制造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视听设备制造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396</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电子器件制造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397</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电子元件制造</w:t>
            </w:r>
          </w:p>
        </w:tc>
        <w:tc>
          <w:tcPr>
            <w:tcW w:w="976" w:type="dxa"/>
            <w:vMerge/>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399</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3990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其他电子设备制造</w:t>
            </w:r>
          </w:p>
        </w:tc>
        <w:tc>
          <w:tcPr>
            <w:tcW w:w="976"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40</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仪器仪表制造业</w:t>
            </w:r>
          </w:p>
        </w:tc>
        <w:tc>
          <w:tcPr>
            <w:tcW w:w="976" w:type="dxa"/>
            <w:vMerge w:val="restart"/>
            <w:tcBorders>
              <w:top w:val="single" w:sz="12" w:space="0" w:color="auto"/>
              <w:bottom w:val="single" w:sz="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财税〔2014〕75号</w:t>
            </w:r>
          </w:p>
        </w:tc>
        <w:tc>
          <w:tcPr>
            <w:tcW w:w="567" w:type="dxa"/>
            <w:vMerge w:val="restart"/>
            <w:tcBorders>
              <w:top w:val="single" w:sz="12" w:space="0" w:color="auto"/>
              <w:bottom w:val="single" w:sz="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仪器仪表制造业</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401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通用仪器仪表制造</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402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专用仪器仪表制造</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403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4030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钟表与计时仪器制造</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404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光学仪器及眼镜制造</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409</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4090</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其他仪器仪表制造业</w:t>
            </w:r>
          </w:p>
        </w:tc>
        <w:tc>
          <w:tcPr>
            <w:tcW w:w="976" w:type="dxa"/>
            <w:vMerge/>
            <w:tcBorders>
              <w:top w:val="single" w:sz="2" w:space="0" w:color="auto"/>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c>
          <w:tcPr>
            <w:tcW w:w="567" w:type="dxa"/>
            <w:vMerge/>
            <w:tcBorders>
              <w:top w:val="single" w:sz="2" w:space="0" w:color="auto"/>
              <w:bottom w:val="single" w:sz="12" w:space="0" w:color="auto"/>
            </w:tcBorders>
            <w:vAlign w:val="center"/>
          </w:tcPr>
          <w:p w:rsidR="00476E8E" w:rsidRPr="001071B8" w:rsidRDefault="00476E8E" w:rsidP="001071B8">
            <w:pPr>
              <w:spacing w:line="0" w:lineRule="atLeast"/>
              <w:jc w:val="center"/>
              <w:rPr>
                <w:rFonts w:ascii="宋体" w:hAnsi="宋体" w:cs="宋体"/>
                <w:sz w:val="15"/>
                <w:szCs w:val="15"/>
              </w:rPr>
            </w:pPr>
          </w:p>
        </w:tc>
      </w:tr>
      <w:tr w:rsidR="00170F8F" w:rsidRPr="001071B8" w:rsidTr="00170F8F">
        <w:trPr>
          <w:trHeight w:val="113"/>
          <w:jc w:val="center"/>
        </w:trPr>
        <w:tc>
          <w:tcPr>
            <w:tcW w:w="629"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I</w:t>
            </w:r>
          </w:p>
        </w:tc>
        <w:tc>
          <w:tcPr>
            <w:tcW w:w="567"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520"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614"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 xml:space="preserve">　</w:t>
            </w:r>
          </w:p>
        </w:tc>
        <w:tc>
          <w:tcPr>
            <w:tcW w:w="3385" w:type="dxa"/>
            <w:tcBorders>
              <w:top w:val="single" w:sz="12" w:space="0" w:color="auto"/>
              <w:bottom w:val="nil"/>
            </w:tcBorders>
            <w:shd w:val="clear" w:color="auto" w:fill="auto"/>
            <w:noWrap/>
            <w:vAlign w:val="center"/>
          </w:tcPr>
          <w:p w:rsidR="00476E8E" w:rsidRPr="001071B8" w:rsidRDefault="00476E8E" w:rsidP="001071B8">
            <w:pPr>
              <w:spacing w:line="0" w:lineRule="atLeast"/>
              <w:jc w:val="left"/>
              <w:rPr>
                <w:rFonts w:ascii="宋体" w:hAnsi="宋体" w:cs="宋体"/>
                <w:b/>
                <w:sz w:val="15"/>
                <w:szCs w:val="15"/>
              </w:rPr>
            </w:pPr>
            <w:r w:rsidRPr="001071B8">
              <w:rPr>
                <w:rFonts w:ascii="宋体" w:hAnsi="宋体" w:cs="宋体" w:hint="eastAsia"/>
                <w:b/>
                <w:sz w:val="15"/>
                <w:szCs w:val="15"/>
              </w:rPr>
              <w:t>信息传输、软件和信息技术服务业</w:t>
            </w:r>
          </w:p>
        </w:tc>
        <w:tc>
          <w:tcPr>
            <w:tcW w:w="976" w:type="dxa"/>
            <w:vMerge w:val="restart"/>
            <w:tcBorders>
              <w:top w:val="single" w:sz="12" w:space="0" w:color="auto"/>
              <w:bottom w:val="single" w:sz="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财税〔2014〕75号</w:t>
            </w:r>
          </w:p>
        </w:tc>
        <w:tc>
          <w:tcPr>
            <w:tcW w:w="567" w:type="dxa"/>
            <w:vMerge w:val="restart"/>
            <w:tcBorders>
              <w:top w:val="single" w:sz="12" w:space="0" w:color="auto"/>
              <w:bottom w:val="single" w:sz="2" w:space="0" w:color="auto"/>
            </w:tcBorders>
            <w:shd w:val="clear" w:color="auto" w:fill="auto"/>
            <w:vAlign w:val="center"/>
          </w:tcPr>
          <w:p w:rsidR="00476E8E" w:rsidRPr="001071B8" w:rsidRDefault="00476E8E" w:rsidP="001071B8">
            <w:pPr>
              <w:spacing w:line="0" w:lineRule="atLeast"/>
              <w:jc w:val="center"/>
              <w:rPr>
                <w:rFonts w:ascii="宋体" w:hAnsi="宋体" w:cs="宋体"/>
                <w:sz w:val="15"/>
                <w:szCs w:val="15"/>
              </w:rPr>
            </w:pPr>
            <w:r w:rsidRPr="001071B8">
              <w:rPr>
                <w:rFonts w:ascii="宋体" w:hAnsi="宋体" w:cs="宋体" w:hint="eastAsia"/>
                <w:sz w:val="15"/>
                <w:szCs w:val="15"/>
              </w:rPr>
              <w:t>信息传输、软件和信息技术服务业</w:t>
            </w: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63</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电信、广播电视和卫星传输服务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631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电信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632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广播电视传输服务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633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6330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卫星传输服务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64</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互联网和相关服务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641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6410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互联网接入及相关服务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642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6420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互联网信息服务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649</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6490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其他互联网服务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软件和信息技术服务业</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651</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6510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软件开发</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652</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6520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信息系统集成服务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653</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6530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信息技术咨询服务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654</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6540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数据处理和存储服务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655</w:t>
            </w:r>
          </w:p>
        </w:tc>
        <w:tc>
          <w:tcPr>
            <w:tcW w:w="614"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6550</w:t>
            </w:r>
          </w:p>
        </w:tc>
        <w:tc>
          <w:tcPr>
            <w:tcW w:w="3385" w:type="dxa"/>
            <w:tcBorders>
              <w:top w:val="nil"/>
              <w:bottom w:val="nil"/>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集成电路设计</w:t>
            </w:r>
          </w:p>
        </w:tc>
        <w:tc>
          <w:tcPr>
            <w:tcW w:w="976"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2" w:space="0" w:color="auto"/>
            </w:tcBorders>
            <w:vAlign w:val="center"/>
          </w:tcPr>
          <w:p w:rsidR="00476E8E" w:rsidRPr="001071B8" w:rsidRDefault="00476E8E" w:rsidP="001071B8">
            <w:pPr>
              <w:spacing w:line="0" w:lineRule="atLeast"/>
              <w:jc w:val="left"/>
              <w:rPr>
                <w:rFonts w:ascii="宋体" w:hAnsi="宋体" w:cs="宋体"/>
                <w:sz w:val="15"/>
                <w:szCs w:val="15"/>
              </w:rPr>
            </w:pPr>
          </w:p>
        </w:tc>
      </w:tr>
      <w:tr w:rsidR="00170F8F" w:rsidRPr="001071B8" w:rsidTr="00170F8F">
        <w:trPr>
          <w:trHeight w:val="113"/>
          <w:jc w:val="center"/>
        </w:trPr>
        <w:tc>
          <w:tcPr>
            <w:tcW w:w="629"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67"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520"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659</w:t>
            </w:r>
          </w:p>
        </w:tc>
        <w:tc>
          <w:tcPr>
            <w:tcW w:w="614"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w:t>
            </w:r>
          </w:p>
        </w:tc>
        <w:tc>
          <w:tcPr>
            <w:tcW w:w="3385" w:type="dxa"/>
            <w:tcBorders>
              <w:top w:val="nil"/>
              <w:bottom w:val="single" w:sz="12" w:space="0" w:color="auto"/>
            </w:tcBorders>
            <w:shd w:val="clear" w:color="auto" w:fill="auto"/>
            <w:noWrap/>
            <w:vAlign w:val="center"/>
          </w:tcPr>
          <w:p w:rsidR="00476E8E" w:rsidRPr="001071B8" w:rsidRDefault="00476E8E" w:rsidP="001071B8">
            <w:pPr>
              <w:spacing w:line="0" w:lineRule="atLeast"/>
              <w:jc w:val="left"/>
              <w:rPr>
                <w:rFonts w:ascii="宋体" w:hAnsi="宋体" w:cs="宋体"/>
                <w:sz w:val="15"/>
                <w:szCs w:val="15"/>
              </w:rPr>
            </w:pPr>
            <w:r w:rsidRPr="001071B8">
              <w:rPr>
                <w:rFonts w:ascii="宋体" w:hAnsi="宋体" w:cs="宋体" w:hint="eastAsia"/>
                <w:sz w:val="15"/>
                <w:szCs w:val="15"/>
              </w:rPr>
              <w:t xml:space="preserve">  其他信息技术服务业</w:t>
            </w:r>
          </w:p>
        </w:tc>
        <w:tc>
          <w:tcPr>
            <w:tcW w:w="976" w:type="dxa"/>
            <w:vMerge/>
            <w:tcBorders>
              <w:top w:val="single" w:sz="2" w:space="0" w:color="auto"/>
              <w:bottom w:val="single" w:sz="12" w:space="0" w:color="auto"/>
            </w:tcBorders>
            <w:vAlign w:val="center"/>
          </w:tcPr>
          <w:p w:rsidR="00476E8E" w:rsidRPr="001071B8" w:rsidRDefault="00476E8E" w:rsidP="001071B8">
            <w:pPr>
              <w:spacing w:line="0" w:lineRule="atLeast"/>
              <w:jc w:val="left"/>
              <w:rPr>
                <w:rFonts w:ascii="宋体" w:hAnsi="宋体" w:cs="宋体"/>
                <w:sz w:val="15"/>
                <w:szCs w:val="15"/>
              </w:rPr>
            </w:pPr>
          </w:p>
        </w:tc>
        <w:tc>
          <w:tcPr>
            <w:tcW w:w="567" w:type="dxa"/>
            <w:vMerge/>
            <w:tcBorders>
              <w:top w:val="single" w:sz="2" w:space="0" w:color="auto"/>
              <w:bottom w:val="single" w:sz="12" w:space="0" w:color="auto"/>
            </w:tcBorders>
            <w:vAlign w:val="center"/>
          </w:tcPr>
          <w:p w:rsidR="00476E8E" w:rsidRPr="001071B8" w:rsidRDefault="00476E8E" w:rsidP="001071B8">
            <w:pPr>
              <w:spacing w:line="0" w:lineRule="atLeast"/>
              <w:jc w:val="left"/>
              <w:rPr>
                <w:rFonts w:ascii="宋体" w:hAnsi="宋体" w:cs="宋体"/>
                <w:sz w:val="15"/>
                <w:szCs w:val="15"/>
              </w:rPr>
            </w:pPr>
          </w:p>
        </w:tc>
      </w:tr>
    </w:tbl>
    <w:p w:rsidR="00C67E20" w:rsidRPr="001071B8" w:rsidRDefault="00C67E20" w:rsidP="001071B8">
      <w:pPr>
        <w:pStyle w:val="a3"/>
        <w:tabs>
          <w:tab w:val="left" w:pos="4830"/>
        </w:tabs>
        <w:topLinePunct/>
        <w:spacing w:line="0" w:lineRule="atLeast"/>
        <w:outlineLvl w:val="0"/>
        <w:rPr>
          <w:rFonts w:asciiTheme="minorEastAsia" w:eastAsiaTheme="minorEastAsia" w:hAnsiTheme="minorEastAsia"/>
          <w:b/>
          <w:spacing w:val="6"/>
          <w:position w:val="6"/>
          <w:sz w:val="15"/>
          <w:szCs w:val="15"/>
        </w:rPr>
        <w:sectPr w:rsidR="00C67E20" w:rsidRPr="001071B8" w:rsidSect="00170F8F">
          <w:type w:val="continuous"/>
          <w:pgSz w:w="23814" w:h="16840" w:orient="landscape" w:code="8"/>
          <w:pgMar w:top="851" w:right="851" w:bottom="851" w:left="851" w:header="851" w:footer="992" w:gutter="0"/>
          <w:cols w:num="3" w:space="425"/>
          <w:docGrid w:type="lines" w:linePitch="312"/>
        </w:sectPr>
      </w:pPr>
    </w:p>
    <w:p w:rsidR="00503B18" w:rsidRPr="001071B8" w:rsidRDefault="00503B18" w:rsidP="001071B8">
      <w:pPr>
        <w:pStyle w:val="a3"/>
        <w:tabs>
          <w:tab w:val="left" w:pos="4830"/>
        </w:tabs>
        <w:topLinePunct/>
        <w:spacing w:line="0" w:lineRule="atLeast"/>
        <w:outlineLvl w:val="0"/>
        <w:rPr>
          <w:rFonts w:asciiTheme="minorEastAsia" w:eastAsiaTheme="minorEastAsia" w:hAnsiTheme="minorEastAsia"/>
          <w:b/>
          <w:spacing w:val="6"/>
          <w:position w:val="6"/>
          <w:sz w:val="15"/>
          <w:szCs w:val="15"/>
        </w:rPr>
      </w:pPr>
    </w:p>
    <w:sectPr w:rsidR="00503B18" w:rsidRPr="001071B8" w:rsidSect="00170F8F">
      <w:type w:val="continuous"/>
      <w:pgSz w:w="23814" w:h="16840" w:orient="landscape" w:code="8"/>
      <w:pgMar w:top="851" w:right="851" w:bottom="851" w:left="851" w:header="851" w:footer="992" w:gutter="0"/>
      <w:cols w:num="3"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08C" w:rsidRDefault="0068208C" w:rsidP="00455B4C">
      <w:r>
        <w:separator/>
      </w:r>
    </w:p>
  </w:endnote>
  <w:endnote w:type="continuationSeparator" w:id="1">
    <w:p w:rsidR="0068208C" w:rsidRDefault="0068208C" w:rsidP="00455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08C" w:rsidRDefault="0068208C" w:rsidP="00455B4C">
      <w:r>
        <w:separator/>
      </w:r>
    </w:p>
  </w:footnote>
  <w:footnote w:type="continuationSeparator" w:id="1">
    <w:p w:rsidR="0068208C" w:rsidRDefault="0068208C" w:rsidP="00455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549"/>
    <w:multiLevelType w:val="multilevel"/>
    <w:tmpl w:val="7C2C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43EFF"/>
    <w:multiLevelType w:val="hybridMultilevel"/>
    <w:tmpl w:val="87A8DD0A"/>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3DF2CF5"/>
    <w:multiLevelType w:val="hybridMultilevel"/>
    <w:tmpl w:val="C268AF54"/>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209"/>
        </w:tabs>
        <w:ind w:left="1209" w:hanging="420"/>
      </w:pPr>
    </w:lvl>
    <w:lvl w:ilvl="2" w:tplc="0409001B" w:tentative="1">
      <w:start w:val="1"/>
      <w:numFmt w:val="lowerRoman"/>
      <w:lvlText w:val="%3."/>
      <w:lvlJc w:val="righ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9" w:tentative="1">
      <w:start w:val="1"/>
      <w:numFmt w:val="lowerLetter"/>
      <w:lvlText w:val="%5)"/>
      <w:lvlJc w:val="left"/>
      <w:pPr>
        <w:tabs>
          <w:tab w:val="num" w:pos="2469"/>
        </w:tabs>
        <w:ind w:left="2469" w:hanging="420"/>
      </w:pPr>
    </w:lvl>
    <w:lvl w:ilvl="5" w:tplc="0409001B" w:tentative="1">
      <w:start w:val="1"/>
      <w:numFmt w:val="lowerRoman"/>
      <w:lvlText w:val="%6."/>
      <w:lvlJc w:val="righ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9" w:tentative="1">
      <w:start w:val="1"/>
      <w:numFmt w:val="lowerLetter"/>
      <w:lvlText w:val="%8)"/>
      <w:lvlJc w:val="left"/>
      <w:pPr>
        <w:tabs>
          <w:tab w:val="num" w:pos="3729"/>
        </w:tabs>
        <w:ind w:left="3729" w:hanging="420"/>
      </w:pPr>
    </w:lvl>
    <w:lvl w:ilvl="8" w:tplc="0409001B" w:tentative="1">
      <w:start w:val="1"/>
      <w:numFmt w:val="lowerRoman"/>
      <w:lvlText w:val="%9."/>
      <w:lvlJc w:val="right"/>
      <w:pPr>
        <w:tabs>
          <w:tab w:val="num" w:pos="4149"/>
        </w:tabs>
        <w:ind w:left="4149" w:hanging="420"/>
      </w:pPr>
    </w:lvl>
  </w:abstractNum>
  <w:abstractNum w:abstractNumId="3">
    <w:nsid w:val="5603A74C"/>
    <w:multiLevelType w:val="singleLevel"/>
    <w:tmpl w:val="5603A74C"/>
    <w:lvl w:ilvl="0">
      <w:start w:val="2"/>
      <w:numFmt w:val="decimal"/>
      <w:suff w:val="nothing"/>
      <w:lvlText w:val="%1."/>
      <w:lvlJc w:val="left"/>
    </w:lvl>
  </w:abstractNum>
  <w:abstractNum w:abstractNumId="4">
    <w:nsid w:val="5603A980"/>
    <w:multiLevelType w:val="singleLevel"/>
    <w:tmpl w:val="5603A980"/>
    <w:lvl w:ilvl="0">
      <w:start w:val="3"/>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2D4"/>
    <w:rsid w:val="000A0CFB"/>
    <w:rsid w:val="001071B8"/>
    <w:rsid w:val="001249C1"/>
    <w:rsid w:val="00156663"/>
    <w:rsid w:val="00157179"/>
    <w:rsid w:val="00157647"/>
    <w:rsid w:val="00160541"/>
    <w:rsid w:val="00170F8F"/>
    <w:rsid w:val="001867AE"/>
    <w:rsid w:val="001E5488"/>
    <w:rsid w:val="002556C8"/>
    <w:rsid w:val="003461B6"/>
    <w:rsid w:val="003721A7"/>
    <w:rsid w:val="003A449B"/>
    <w:rsid w:val="00455B4C"/>
    <w:rsid w:val="00476E8E"/>
    <w:rsid w:val="00503B18"/>
    <w:rsid w:val="005522D4"/>
    <w:rsid w:val="00591AA0"/>
    <w:rsid w:val="0068208C"/>
    <w:rsid w:val="006D61F3"/>
    <w:rsid w:val="00734DF0"/>
    <w:rsid w:val="00933E0B"/>
    <w:rsid w:val="009B2F30"/>
    <w:rsid w:val="00A973D9"/>
    <w:rsid w:val="00C3385E"/>
    <w:rsid w:val="00C6728E"/>
    <w:rsid w:val="00C67E20"/>
    <w:rsid w:val="00C84127"/>
    <w:rsid w:val="00D74F72"/>
    <w:rsid w:val="00E246B3"/>
    <w:rsid w:val="00E40D72"/>
    <w:rsid w:val="00EF34B5"/>
    <w:rsid w:val="00F46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03B18"/>
    <w:rPr>
      <w:rFonts w:ascii="宋体" w:eastAsia="宋体" w:hAnsi="Courier New" w:cs="Courier New"/>
      <w:szCs w:val="21"/>
    </w:rPr>
  </w:style>
  <w:style w:type="character" w:customStyle="1" w:styleId="Char">
    <w:name w:val="纯文本 Char"/>
    <w:basedOn w:val="a0"/>
    <w:link w:val="a3"/>
    <w:rsid w:val="00503B18"/>
    <w:rPr>
      <w:rFonts w:ascii="宋体" w:eastAsia="宋体" w:hAnsi="Courier New" w:cs="Courier New"/>
      <w:szCs w:val="21"/>
    </w:rPr>
  </w:style>
  <w:style w:type="paragraph" w:styleId="a4">
    <w:name w:val="header"/>
    <w:basedOn w:val="a"/>
    <w:link w:val="Char0"/>
    <w:unhideWhenUsed/>
    <w:rsid w:val="00455B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55B4C"/>
    <w:rPr>
      <w:sz w:val="18"/>
      <w:szCs w:val="18"/>
    </w:rPr>
  </w:style>
  <w:style w:type="paragraph" w:styleId="a5">
    <w:name w:val="footer"/>
    <w:basedOn w:val="a"/>
    <w:link w:val="Char1"/>
    <w:unhideWhenUsed/>
    <w:rsid w:val="00455B4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55B4C"/>
    <w:rPr>
      <w:sz w:val="18"/>
      <w:szCs w:val="18"/>
    </w:rPr>
  </w:style>
  <w:style w:type="character" w:styleId="a6">
    <w:name w:val="Hyperlink"/>
    <w:basedOn w:val="a0"/>
    <w:rsid w:val="00476E8E"/>
    <w:rPr>
      <w:strike w:val="0"/>
      <w:dstrike w:val="0"/>
      <w:color w:val="333333"/>
      <w:sz w:val="12"/>
      <w:szCs w:val="12"/>
      <w:u w:val="none"/>
      <w:effect w:val="none"/>
      <w:bdr w:val="none" w:sz="0" w:space="0" w:color="auto" w:frame="1"/>
    </w:rPr>
  </w:style>
  <w:style w:type="paragraph" w:styleId="a7">
    <w:name w:val="Normal (Web)"/>
    <w:basedOn w:val="a"/>
    <w:rsid w:val="00476E8E"/>
    <w:pPr>
      <w:widowControl/>
      <w:jc w:val="left"/>
    </w:pPr>
    <w:rPr>
      <w:rFonts w:ascii="宋体" w:eastAsia="宋体" w:hAnsi="宋体" w:cs="宋体"/>
      <w:kern w:val="0"/>
      <w:sz w:val="24"/>
      <w:szCs w:val="24"/>
    </w:rPr>
  </w:style>
  <w:style w:type="paragraph" w:customStyle="1" w:styleId="CharCharCharChar">
    <w:name w:val="Char Char Char Char"/>
    <w:basedOn w:val="a"/>
    <w:rsid w:val="00476E8E"/>
    <w:rPr>
      <w:rFonts w:ascii="Tahoma" w:eastAsia="宋体" w:hAnsi="Tahoma" w:cs="Times New Roman"/>
      <w:sz w:val="24"/>
      <w:szCs w:val="20"/>
    </w:rPr>
  </w:style>
  <w:style w:type="paragraph" w:customStyle="1" w:styleId="a8">
    <w:name w:val="需求正文"/>
    <w:basedOn w:val="a"/>
    <w:rsid w:val="00476E8E"/>
    <w:pPr>
      <w:spacing w:line="360" w:lineRule="auto"/>
      <w:ind w:firstLineChars="200" w:firstLine="200"/>
    </w:pPr>
    <w:rPr>
      <w:rFonts w:ascii="宋体" w:eastAsia="宋体" w:hAnsi="宋体" w:cs="Times New Roman"/>
      <w:sz w:val="24"/>
      <w:szCs w:val="24"/>
    </w:rPr>
  </w:style>
  <w:style w:type="character" w:styleId="a9">
    <w:name w:val="page number"/>
    <w:basedOn w:val="a0"/>
    <w:rsid w:val="00476E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A0B9-D72D-4089-8059-E7EF9045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7</cp:revision>
  <cp:lastPrinted>2015-12-07T07:44:00Z</cp:lastPrinted>
  <dcterms:created xsi:type="dcterms:W3CDTF">2015-12-07T02:45:00Z</dcterms:created>
  <dcterms:modified xsi:type="dcterms:W3CDTF">2015-12-07T08:16:00Z</dcterms:modified>
</cp:coreProperties>
</file>